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25D" w:rsidRPr="0013337D" w:rsidRDefault="0033325D" w:rsidP="0033325D">
      <w:pPr>
        <w:jc w:val="center"/>
        <w:rPr>
          <w:b/>
          <w:sz w:val="28"/>
        </w:rPr>
      </w:pPr>
      <w:bookmarkStart w:id="0" w:name="_GoBack"/>
      <w:bookmarkEnd w:id="0"/>
      <w:r w:rsidRPr="0013337D">
        <w:rPr>
          <w:b/>
          <w:sz w:val="28"/>
        </w:rPr>
        <w:t>SMĚRNICE Č. 11/2006 DOKUMENTACE PRO PŘÍPRAVU STAVEB NA ŽELEZNIČNÍCH DRAHÁCH CELOSTÁTNÍCH A REGIONÁLNÍCH</w:t>
      </w:r>
    </w:p>
    <w:p w:rsidR="0033325D" w:rsidRDefault="0033325D" w:rsidP="0033325D"/>
    <w:p w:rsidR="0033325D" w:rsidRDefault="0033325D" w:rsidP="0033325D">
      <w:r>
        <w:t>(Dokumentace staveb drah a staveb na dráze pro vydání stavebního povolení nebo k oznámení ve zkráceném stavebním řízení a pro realizaci stavby)</w:t>
      </w:r>
    </w:p>
    <w:p w:rsidR="0033325D" w:rsidRDefault="0033325D" w:rsidP="0033325D"/>
    <w:p w:rsidR="0033325D" w:rsidRPr="0013337D" w:rsidRDefault="0033325D" w:rsidP="0033325D">
      <w:pPr>
        <w:jc w:val="center"/>
        <w:rPr>
          <w:b/>
        </w:rPr>
      </w:pPr>
      <w:r w:rsidRPr="0013337D">
        <w:rPr>
          <w:b/>
        </w:rPr>
        <w:t>VYBRANÉ ČÁSTI PRO POZEMNÍ STAVBY</w:t>
      </w:r>
    </w:p>
    <w:p w:rsidR="0033325D" w:rsidRDefault="0033325D" w:rsidP="0033325D">
      <w:pPr>
        <w:jc w:val="center"/>
        <w:rPr>
          <w:b/>
        </w:rPr>
      </w:pPr>
      <w:r w:rsidRPr="0013337D">
        <w:rPr>
          <w:b/>
        </w:rPr>
        <w:t>PROJEKT (P)</w:t>
      </w:r>
      <w:r>
        <w:rPr>
          <w:rStyle w:val="Znakapoznpodarou"/>
          <w:rFonts w:eastAsia="Calibri"/>
        </w:rPr>
        <w:footnoteReference w:id="1"/>
      </w:r>
    </w:p>
    <w:p w:rsidR="0033325D" w:rsidRDefault="0033325D" w:rsidP="0033325D">
      <w:pPr>
        <w:jc w:val="center"/>
        <w:rPr>
          <w:b/>
        </w:rPr>
      </w:pPr>
    </w:p>
    <w:p w:rsidR="0033325D" w:rsidRDefault="0033325D" w:rsidP="0033325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/>
        <w:ind w:left="284" w:hanging="357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</w:rPr>
        <w:t>Účel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dokumentace</w:t>
      </w:r>
    </w:p>
    <w:p w:rsidR="0033325D" w:rsidRDefault="0033325D" w:rsidP="003332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Projekt na podkladě schválené PD rozpracovává a upřesňuje náplň, technické řešení, stavební postupy stavby a vyjadřuje požadavky na stavbu do podrobností potřebných pro: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projednání a schválení navrženého řešení stavby,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stavební řízení a vydání stavebního povolení (příp. ohlášení stavby),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zadání veřejné zakázky na zhotovení stavby a následně po výběru nejvhodnější nabídky pro uzavření smlouvy o zhotovení díla (stavby),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vydání souhlasu poskytovatele finančních prostředků se zadáním realizace stavby a to u staveb financovaných z veřejných prostředků,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uzavření smluv s vlastníky a jinými oprávněnými subjekty dotčených pozemků a staveb nebo bytů a nebytových prostor,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realizaci stavby, včetně zpracování dokumentace dodavatele,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vypracování dokumentace skutečného provedení stavby,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podrobné a úplné ocenění stavby.</w:t>
      </w:r>
    </w:p>
    <w:p w:rsidR="0033325D" w:rsidRDefault="0033325D" w:rsidP="003332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Projekt stanoví:</w:t>
      </w:r>
    </w:p>
    <w:p w:rsidR="0033325D" w:rsidRDefault="0033325D" w:rsidP="0033325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definitivní funkci, rozsah a účinky stavby, přičemž ke změně územního rozsahu stavby je nutné předchozí projednání se zadavatelem projektu,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územně technické podmínky pro realizaci stavby, včetně napojení na dopravní infrastrukturu, inženýrské sítě,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splnění podmínek územního rozhodnutí, schvalovacího a posuzovacího protokolu přípravné dokumentace, respektive zdůvodňuje změny oproti přípravné dokumentaci,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  <w:i/>
        </w:rPr>
      </w:pPr>
      <w:r>
        <w:rPr>
          <w:rFonts w:ascii="TimesNewRomanPSMT" w:hAnsi="TimesNewRomanPSMT" w:cs="TimesNewRomanPSMT"/>
        </w:rPr>
        <w:t xml:space="preserve">dodržení podmínek posudku EIA, ochranných pásem, chráněných území a ochrany památkových objektů </w:t>
      </w:r>
      <w:r>
        <w:rPr>
          <w:rFonts w:ascii="TimesNewRomanPSMT" w:hAnsi="TimesNewRomanPSMT" w:cs="TimesNewRomanPSMT"/>
          <w:i/>
        </w:rPr>
        <w:t>(zpřesňuje rozsah odnětí pozemků ze ZPF a PUPFL nebo jiné omezení v jejich využívání, a to jen pozemků uvedených v PD. Před projednáním dalších záborů pozemků je nutné předchozí projednání se zadavatelem projektu),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úplné technické řešení pro realizaci stavby,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definitivní členění stavby na provozní soubory a stavební objekty,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předpokládanou organizaci výstavby včetně časového plánu stavby, potřebných ploch zařízení staveniště, přístupu ke staveništi a dopravních tras, požadavky na výluky a objížďky,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koordinaci navrhované stavby se stávajícími, připravovanými, případně plánovanými stavbami,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celkové investiční náklady (CIN) stavby hrazené z plánovaných investičních zdrojů a zároveň stanoví pořizovací investiční náklady (PIN) stavby,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průkaz zabezpečení stavby z hlediska požární a civilní ochrany,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průkaz bezpečnosti práce,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průkaz zabezpečení stavby proti vlivům trakčních a energetických zařízení,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protiradonová opatření,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bilanci potřeb a zdrojů financování stavby v jednotlivých letech přípravy a realizace,</w:t>
      </w:r>
    </w:p>
    <w:p w:rsidR="0033325D" w:rsidRDefault="0033325D" w:rsidP="0033325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výkaz výměr s podrobným soupisem prací a dodávek (specifikace) a podrobným popisem požadovaných standardů.</w:t>
      </w:r>
    </w:p>
    <w:p w:rsidR="0033325D" w:rsidRDefault="0033325D" w:rsidP="003332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>Obecné podmínky: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spacing w:before="120" w:after="60"/>
        <w:ind w:left="993" w:hanging="2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Rozpracovává a upřesňuje základní požadavky na stavbu stanovené schválenou přípravnou dokumentací. Schválené závazné údaje a ukazatele stavby předchozího stupně dokumentace musí být dodrženy a nesmí dojít ke zhoršení schválených závazných údajů a ukazatelů. Pouze ve zvlášť odůvodněných případech mohou být provedeny změny oproti přípravné dokumentaci, vždy však se souhlasem schvalujícího orgánu předchozího stupně dokumentace. Pokud ve výjimečných případech nelze schválené závazné údaje a ukazatele respektive investiční náklady dodržet musí být toto nedodržení podrobně a průkazně zdůvodněno v části B.1.4.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2. </w:t>
      </w:r>
      <w:r>
        <w:rPr>
          <w:rFonts w:ascii="TimesNewRomanPS-BoldMT" w:hAnsi="TimesNewRomanPS-BoldMT" w:cs="TimesNewRomanPS-BoldMT"/>
          <w:b/>
          <w:bCs/>
          <w:sz w:val="28"/>
        </w:rPr>
        <w:t>Podklady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pro zpracování projektu</w:t>
      </w:r>
    </w:p>
    <w:p w:rsidR="0033325D" w:rsidRDefault="0033325D" w:rsidP="0033325D">
      <w:pPr>
        <w:spacing w:after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Zadavatel poskytne dodavateli projektu (vybranému uchazeči) zpravidla tyto podklady: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Základní informace o stavbě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název stavby (počet do 100 znaků vychází z požadavků ISPROFIN), obsahující předmět investiční akce a místo investiční akce, místo nebo oblast stavby,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identifikační údaje o zadavateli (název a sídlo, IČ, DIČ, popř. název a adresa organizační složky apod.),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stručný popis stávajícího stavu, požadavky na nový stav tj. rámcové stanovení kapacit a parametrů pro uvažovanou výstavbu (např.: počty osob, požadovaná traťová rychlost, prostorová průchodnost, třída, zatížení, propustnost, užitečné délky kolejí, délky nástupišť, frekvence cestujících, výkony navrhovaných zařízení, množství skladovaných materiálů atd.)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zvláštní požadavky na technické řešení (typy konstrukcí, zvláštní životnost částí stavby apod.) nebo omezení technologie provádění (práce jen ve výlukách, provádění jen v určitých časových obdobích, určení konkrétních stavebních a montážních mechanizmů apod.) resp. i omezení návrhů technického řešení finančními možnostmi zadavatele, požadavky na dodavatele projektové dokumentace a příp. i jiné omezující podmínky a požadavky,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dobu výstavby, případně etapizaci,</w:t>
      </w:r>
    </w:p>
    <w:p w:rsidR="0033325D" w:rsidRDefault="0033325D" w:rsidP="0033325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optimální postup výstavby vyplývající z předpokládaného zajištění zdrojů financování.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Přehled a informace o dosud zpracovaných dokumentacích a dokumentech majících vztah k připravované stavbě</w:t>
      </w:r>
    </w:p>
    <w:p w:rsidR="0033325D" w:rsidRDefault="0033325D" w:rsidP="0033325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schválenou přípravnou dokumentaci včetně posuzovacího a schvalovacího protokolu, územního rozhodnutí, EIA a případně další dokumenty související se stavbou.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Údaje a informace o podkladech a provedených průzkumech</w:t>
      </w:r>
    </w:p>
    <w:p w:rsidR="0033325D" w:rsidRDefault="0033325D" w:rsidP="0033325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výsledky průzkumů provedených na základě požadavků z přípravné dokumentace,</w:t>
      </w:r>
    </w:p>
    <w:p w:rsidR="0033325D" w:rsidRDefault="0033325D" w:rsidP="0033325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změn uživatelů nebo majitelů dosavadního hmotného majetku dotčeného stavbou, ke kterým případně došlo od doby vypracování přípravné dokumentace.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Dokumentace skutečného stavu dosavadního dlouhodobého hmotného majetku</w:t>
      </w:r>
    </w:p>
    <w:p w:rsidR="0033325D" w:rsidRDefault="0033325D" w:rsidP="0033325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uvede se dostupná dokumentace skutečného provedení dosavadního hmotného majetku dotčeného stavbou,</w:t>
      </w:r>
    </w:p>
    <w:p w:rsidR="0033325D" w:rsidRDefault="0033325D" w:rsidP="0033325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inženýrských objektů data evidence předmětných objektů, poslední revizní zprávy, archivní dokumentace, archivní statické výpočty nebo přepočty.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Stav, klasifikace, kategorizace a využitelnost dosavadního dlouhodobého hmotného majetku dotčeného stavbou</w:t>
      </w:r>
    </w:p>
    <w:p w:rsidR="0033325D" w:rsidRDefault="0033325D" w:rsidP="0033325D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uvede se stav dle přípravné dokumentace, jakostní klasifikace a kategorizace dosavadního dlouhodobého hmotného majetku a jednoznačně se uvede jejich využitelnost (ve stavbě resp. jako použitelný výzisk). K tomu se využijí údaje poskytnuté vlastníky nebo správci dotčeného dlouhodobého hmotného majetku.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Geodetické podklady pro projektování stavby</w:t>
      </w:r>
    </w:p>
    <w:p w:rsidR="0033325D" w:rsidRDefault="0033325D" w:rsidP="0033325D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geodetické a mapové podklady v písemné a digitální podobě, které má zadavatel k dispozici.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Dokumentace navazujících staveb stejného zadavatele, jsou-li v době zadání přípravné dokumentace k dispozici</w:t>
      </w:r>
    </w:p>
    <w:p w:rsidR="0033325D" w:rsidRDefault="0033325D" w:rsidP="0033325D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nebude-li mít zadavatel z jakéhokoliv důvodu k dispozici některé z uvedených podkladů, nebo mu bude známo, že jsou neúplné, ale tyto budou pro dokumentaci nezbytné, zahrne zajištění těchto podkladů nebo jejich doplnění do smlouvy o dílo na zhotovení projektu.</w:t>
      </w:r>
    </w:p>
    <w:p w:rsidR="0033325D" w:rsidRDefault="0033325D" w:rsidP="003332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Přehled výjimek</w:t>
      </w:r>
    </w:p>
    <w:p w:rsidR="0033325D" w:rsidRDefault="0033325D" w:rsidP="0033325D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uvede se přehled výjimek ze závazných norem a předpisů z řešení předchozího stupně dokumentace nebo návrhy na jejich udělení.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3. </w:t>
      </w:r>
      <w:r>
        <w:rPr>
          <w:rFonts w:ascii="TimesNewRomanPS-BoldMT" w:hAnsi="TimesNewRomanPS-BoldMT" w:cs="TimesNewRomanPS-BoldMT"/>
          <w:b/>
          <w:bCs/>
          <w:sz w:val="28"/>
        </w:rPr>
        <w:t>Členění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projektu (P)</w:t>
      </w:r>
    </w:p>
    <w:p w:rsidR="0033325D" w:rsidRDefault="0033325D" w:rsidP="0033325D">
      <w:pPr>
        <w:spacing w:after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Projekt má tyto části: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Průvodní zpráva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Souhrnná část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Situace stavby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Technologická část 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Stavební část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Zásady organizace výstavby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MT" w:hAnsi="TimesNewRomanPSMT" w:cs="TimesNewRomanPSMT"/>
          <w:b/>
        </w:rPr>
      </w:pPr>
      <w:r>
        <w:rPr>
          <w:rFonts w:ascii="TimesNewRomanPS-BoldMT" w:hAnsi="TimesNewRomanPS-BoldMT" w:cs="TimesNewRomanPS-BoldMT"/>
          <w:b/>
          <w:bCs/>
        </w:rPr>
        <w:t xml:space="preserve">Náklady </w:t>
      </w:r>
      <w:r>
        <w:rPr>
          <w:rFonts w:ascii="TimesNewRomanPSMT" w:hAnsi="TimesNewRomanPSMT" w:cs="TimesNewRomanPSMT"/>
          <w:i/>
        </w:rPr>
        <w:t>(pozn. slouží pouze pro potřeby zadavatele dokumentace - tj. stavebníka ve smyslu stavebního zákona v platném znění)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Doklady</w:t>
      </w:r>
    </w:p>
    <w:p w:rsidR="0033325D" w:rsidRDefault="0033325D" w:rsidP="0033325D">
      <w:pPr>
        <w:pStyle w:val="Odstavecseseznamem"/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Geodetická dokumentace </w:t>
      </w:r>
    </w:p>
    <w:p w:rsidR="0033325D" w:rsidRDefault="0033325D" w:rsidP="0033325D">
      <w:pPr>
        <w:spacing w:after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Dokumentace projektu (dále jen P) musí vždy obsahovat části A až I členěné na jednotlivé položky s tím, že rozsah jednotlivých částí musí odpovídat druhu a významu stavby, jejímu umístění, stavebně technickému provedení, účelu využití, vlivu na životní prostředí a době trvání stavby.</w:t>
      </w:r>
    </w:p>
    <w:p w:rsidR="0033325D" w:rsidRDefault="0033325D" w:rsidP="0033325D">
      <w:pPr>
        <w:spacing w:after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Dokumentace projektu pro stavby drah a staveb na dráze se zpracovává na úrovni dokumentace, která slouží pro vydání stavebního povolení nebo k oznámení ve zkráceném řízení a zároveň slouží k realizaci stavby.</w:t>
      </w:r>
    </w:p>
    <w:p w:rsidR="0033325D" w:rsidRDefault="0033325D" w:rsidP="0033325D">
      <w:pPr>
        <w:spacing w:after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Pokud některá část dokumentace nepřichází v úvahu (např. stavba nemá technologickou část) vypustí se, avšak při zachování označení (např. D. Technologická část - neobsazeno). U jednoduchých staveb zpravidla s omezeným rozsahem objektové skladby lze vhodným způsobem sloučit výše uvedené části dokumentací do společné přílohy. Přitom se vždy zachovají příslušná označení částí.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spacing w:before="120"/>
        <w:ind w:left="0"/>
        <w:jc w:val="both"/>
        <w:rPr>
          <w:rFonts w:ascii="TimesNewRomanPS-BoldMT" w:hAnsi="TimesNewRomanPS-BoldMT" w:cs="TimesNewRomanPS-BoldMT"/>
          <w:b/>
          <w:bCs/>
          <w:sz w:val="30"/>
        </w:rPr>
      </w:pPr>
      <w:r>
        <w:rPr>
          <w:rFonts w:ascii="TimesNewRomanPS-BoldMT" w:hAnsi="TimesNewRomanPS-BoldMT" w:cs="TimesNewRomanPS-BoldMT"/>
          <w:b/>
          <w:bCs/>
          <w:sz w:val="28"/>
        </w:rPr>
        <w:t xml:space="preserve">4. Rozsah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částí projektu (P)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Průvodní zpráva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A.1 Identifikační údaje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Zpracují se ve smyslu přílohy č. 1 vyhlášky č.499/2006 Sb., o dokumentaci staveb, ve znění pozdějších předpisů: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identifikace stavby, jméno a příjmení, místo trvalého pobytu stavebníka, obchodní firma (fyzické osoby), obchodní firma, IČ, sídlo stavebníka (právnické osoby), jméno a příjmení projektanta, číslo pod kterým je zapsán v evidenci autorizovaných osob vedené Českou komorou architektů nebo Českou komorou autorizovaných inženýrů a techniků činných ve výstavbě s vyznačeným oborem, popřípadě specializací jeho autorizace, dále jeho kontaktní adresa a základní charakteristika stavby a její účel,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dosavadním využití a zastavěnosti území, o stavebním pozemku a o majetkoprávních vztazích,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provedených průzkumech a o napojení na dopravní a technickou infrastrukturu,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informace o splnění požadavků dotčených orgánů,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informace o dodržení obecných požadavků na výstavbu,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splnění podmínek regulačního plánu, územního rozhodnutí, popřípadě územně plánovací informace u staveb podle §104 odst. 1 stavebního zákona,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věcné a časové vazby stavby na související a podmiňující stavby a jiná opatření v dotčeném území,</w:t>
      </w:r>
    </w:p>
    <w:p w:rsidR="0033325D" w:rsidRDefault="0033325D" w:rsidP="0033325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předpokládaná lhůta výstavby včetně popisu postupu výstavby.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A.2 Základní údaje o stavbě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Uvedou se údaje charakterizující stavbu:</w:t>
      </w:r>
    </w:p>
    <w:p w:rsidR="0033325D" w:rsidRDefault="0033325D" w:rsidP="0033325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umístění stavby (kategorie dráhy, traťový úsek, obec, lokalizace atd.),</w:t>
      </w:r>
    </w:p>
    <w:p w:rsidR="0033325D" w:rsidRDefault="0033325D" w:rsidP="0033325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stručný popis stavby z hlediska účelu a funkce,</w:t>
      </w:r>
    </w:p>
    <w:p w:rsidR="0033325D" w:rsidRDefault="0033325D" w:rsidP="0033325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projektované kapacity stavby včetně základních technických parametrů a údaje o provozu a navrhovaných technologiích a zařízeních,</w:t>
      </w:r>
    </w:p>
    <w:p w:rsidR="0033325D" w:rsidRDefault="0033325D" w:rsidP="0033325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charakteristika území dotčeného stavbou,</w:t>
      </w:r>
    </w:p>
    <w:p w:rsidR="0033325D" w:rsidRDefault="0033325D" w:rsidP="0033325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realizaci stavby.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A.3 Přehled výchozích podkladů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se: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Cs/>
        </w:rPr>
        <w:t>členění stavby na provozní soubory a stavební objekty</w:t>
      </w:r>
      <w:r>
        <w:rPr>
          <w:rFonts w:ascii="TimesNewRomanPSMT" w:hAnsi="TimesNewRomanPSMT" w:cs="TimesNewRomanPSMT"/>
        </w:rPr>
        <w:t>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Cs/>
        </w:rPr>
        <w:t>změny v objektové skladbě</w:t>
      </w:r>
      <w:r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rFonts w:ascii="TimesNewRomanPSMT" w:hAnsi="TimesNewRomanPSMT" w:cs="TimesNewRomanPSMT"/>
        </w:rPr>
        <w:t>oproti předchozímu stupni dokumentace, včetně příslušného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ind w:firstLine="35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zdůvodnění.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Dále se uvede seznam veškerých výchozích podkladů pro zpracování projektu, jako jsou například: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zadávací dokumentace,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přípravná dokumentace,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posuzovací a schvalovací protokol přípravné dokumentace,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EIA,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rozhodnutí o umístění stavby,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provedené průzkumy,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ověřené údaje o umístění a stavu inženýrských sítí,</w:t>
      </w:r>
    </w:p>
    <w:p w:rsidR="0033325D" w:rsidRDefault="0033325D" w:rsidP="0033325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geodetické a mapové podklady.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A.4 Zdůvodnění stavby a jejího umístění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zdůvodnění nezbytnosti stavby na základě zpracovaného a projednaného předchozího stupně dokumentace.</w:t>
      </w:r>
    </w:p>
    <w:p w:rsidR="0033325D" w:rsidRDefault="0033325D" w:rsidP="0033325D">
      <w:pPr>
        <w:ind w:firstLine="357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Dále se uvede:</w:t>
      </w:r>
    </w:p>
    <w:p w:rsidR="0033325D" w:rsidRDefault="0033325D" w:rsidP="0033325D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ind w:left="993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zhodnocení dosavadního technického stavu a využití dosavadního majetku,</w:t>
      </w:r>
    </w:p>
    <w:p w:rsidR="0033325D" w:rsidRDefault="0033325D" w:rsidP="0033325D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ind w:left="993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vyšších kvalitativních technických a technologických parametrech stavby,</w:t>
      </w:r>
    </w:p>
    <w:p w:rsidR="0033325D" w:rsidRDefault="0033325D" w:rsidP="0033325D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ind w:left="993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zdůvodnění umístění stavby na základě zpracovaného a projednaného předchozího stupně dokumentace.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A.5 Předčasné užívaní staveb, prozatímní užívaní staveb ke zkušebnímu provozu a doba jeho trvání ve vztahu k dokončení kolaudace a užívání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Uvedou se údaje o postupném předávání částí stavby do užívání, které budou samostatně uváděny do zkušebního provozu.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A.6 Provozní soubory a stavební objekty podléhající technicko - bezpečnostní zkoušce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seznam tzv. určených technických zařízení a stavebních objektů.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A.7 Přehled vlastníků popřípadě správců hmotných investičních prostředků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přehledný seznam vlastníků popřípadě správců hmotných investičních prostředků v členění podle jednotlivých PS a SO nebo jejich částí.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A.8 Informace o dodržení obecných požadavků na výstavbu, včetně bezbariérového užívání stavby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A.9 Členění projektové dokumentace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členění, obsah a rozsah projektu (P). Základní členění P je uvedeno v části 3.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A.10 Seznam provozních souborů a stavebních objektů s přímou vazbou na parametry</w:t>
      </w:r>
      <w:r>
        <w:rPr>
          <w:rFonts w:ascii="TimesNewRomanPS-BoldMT" w:hAnsi="TimesNewRomanPS-BoldMT" w:cs="TimesNewRomanPS-BoldMT"/>
          <w:b/>
          <w:bCs/>
          <w:sz w:val="20"/>
        </w:rPr>
        <w:br/>
        <w:t>interoperability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Pro posouzení shody s technickými specifikacemi interoperability (u staveb vybrané železniční sítě ČR) se vypracuje seznam PS a SO, které mají přímou vazbu na některý ze základních nebo dalších závazných parametrů interoperability dle příslušné vyhlášky o provozní a technické propojitelnosti evropského železničního systému. Provozní soubory a stavební objekty budou členěny v tomto seznamu dle „subsystémů“ infrastruktura, energie, řízení a zabezpečení (subsystém energie bude obsahovat odděleně technologickou a stavební část).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A.11 Koordinace se souběžnými a navazujícími stavbami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seznam veškerých souběžných a navazujících staveb včetně požadavků na věcnou a časovou koordinaci.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A.12 Předpokládané termíny zahájení a dokončení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lastRenderedPageBreak/>
        <w:t>Uvedou se předpokládané termíny zahájení a dokončení stavby, které sleduje zadavatel stavby v plánovacích podkladech.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Souhrnná část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 Souhrnná technická zpráva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Souhrnná technická zpráva obsahuje dále uvedené části: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B.1.1 Zhodnocení staveniště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B.1.2 Průzkumy a podklady</w:t>
      </w:r>
    </w:p>
    <w:p w:rsidR="0033325D" w:rsidRDefault="0033325D" w:rsidP="0033325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provedených průzkumech, měření a závěry z nich vyplývající pro zpracování projektu a realizace stavby včetně stavebně historického průzkumu u stavby, která je kulturní památkou, je v památkové rezervaci nebo je v památkové zóně,</w:t>
      </w:r>
    </w:p>
    <w:p w:rsidR="0033325D" w:rsidRDefault="0033325D" w:rsidP="0033325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vhodnost geologických a hydrogeologických poměrů v území,</w:t>
      </w:r>
    </w:p>
    <w:p w:rsidR="0033325D" w:rsidRDefault="0033325D" w:rsidP="0033325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použité geodetické a mapové podklady a podmínky založení vytyčovací sítě polohové a výškové (primárního systému).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B.1.3 Ochranná pásma</w:t>
      </w:r>
    </w:p>
    <w:p w:rsidR="0033325D" w:rsidRDefault="0033325D" w:rsidP="00333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dosavadních dotčených ochranných pásmech a chráněných územích,</w:t>
      </w:r>
    </w:p>
    <w:p w:rsidR="0033325D" w:rsidRDefault="0033325D" w:rsidP="00333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stanovení nových ochranných pásem </w:t>
      </w:r>
      <w:r>
        <w:rPr>
          <w:rFonts w:ascii="TimesNewRomanPS-ItalicMT" w:hAnsi="TimesNewRomanPS-ItalicMT" w:cs="TimesNewRomanPS-ItalicMT"/>
          <w:i/>
          <w:iCs/>
        </w:rPr>
        <w:t>(rozměry a umístění v terénu)</w:t>
      </w:r>
      <w:r>
        <w:rPr>
          <w:rFonts w:ascii="TimesNewRomanPSMT" w:hAnsi="TimesNewRomanPSMT" w:cs="TimesNewRomanPSMT"/>
        </w:rPr>
        <w:t>,</w:t>
      </w:r>
    </w:p>
    <w:p w:rsidR="0033325D" w:rsidRDefault="0033325D" w:rsidP="00333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údaje o chráněných ložiskových územích a specifikace báňských podmínek pro zpracování návrhu zajištění stavby proti účinkům poddolování </w:t>
      </w:r>
      <w:r>
        <w:rPr>
          <w:rFonts w:ascii="TimesNewRomanPS-ItalicMT" w:hAnsi="TimesNewRomanPS-ItalicMT" w:cs="TimesNewRomanPS-ItalicMT"/>
          <w:i/>
          <w:iCs/>
        </w:rPr>
        <w:t>(ochranná pásma – dle zákona o ochraně přírody a krajiny v platném znění)</w:t>
      </w:r>
      <w:r>
        <w:rPr>
          <w:rFonts w:ascii="TimesNewRomanPSMT" w:hAnsi="TimesNewRomanPSMT" w:cs="TimesNewRomanPSMT"/>
        </w:rPr>
        <w:t>,</w:t>
      </w:r>
    </w:p>
    <w:p w:rsidR="0033325D" w:rsidRDefault="0033325D" w:rsidP="00333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zeleni,</w:t>
      </w:r>
    </w:p>
    <w:p w:rsidR="0033325D" w:rsidRDefault="0033325D" w:rsidP="0033325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záborech zemědělského a lesního fondu.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B.1.4 Koncepce stavby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účel stavby </w:t>
      </w:r>
      <w:r>
        <w:rPr>
          <w:rFonts w:ascii="TimesNewRomanPS-ItalicMT" w:hAnsi="TimesNewRomanPS-ItalicMT" w:cs="TimesNewRomanPS-ItalicMT"/>
          <w:i/>
          <w:iCs/>
        </w:rPr>
        <w:t>(celková koncepce řešení, zdůvodnění navrženého řešení s ohledem na účel stavby, její umístění, u změny dokončení stavby též vyhodnocení současného stavu konstrukcí),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o dodržení obecných technických požadavků na výstavbu včetně bezbariérového užívání stavby,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architektonické a urbanistické začlenění stavby do území, její vzhled a výtvarné řešení,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>stručný popis navrženého technického řešení po jednotlivých PS a SO</w:t>
      </w:r>
      <w:r>
        <w:rPr>
          <w:rFonts w:ascii="TimesNewRomanPS-ItalicMT" w:hAnsi="TimesNewRomanPS-ItalicMT" w:cs="TimesNewRomanPS-ItalicMT"/>
          <w:i/>
          <w:iCs/>
        </w:rPr>
        <w:t>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požadavků na postupné provádění stavby a na postupné uvádění stavby do provozu (užívání) a předpokládané lhůty výstavby,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požadavky stavby na zdroje </w:t>
      </w:r>
      <w:r>
        <w:rPr>
          <w:rFonts w:ascii="TimesNewRomanPS-ItalicMT" w:hAnsi="TimesNewRomanPS-ItalicMT" w:cs="TimesNewRomanPS-ItalicMT"/>
          <w:i/>
          <w:iCs/>
        </w:rPr>
        <w:t>(elektrická energie, voda, plyn – bilance spotřeby energií),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odvedení povrchových vod, napojení na kanalizaci </w:t>
      </w:r>
      <w:r>
        <w:rPr>
          <w:rFonts w:ascii="TimesNewRomanPS-ItalicMT" w:hAnsi="TimesNewRomanPS-ItalicMT" w:cs="TimesNewRomanPS-ItalicMT"/>
          <w:i/>
          <w:iCs/>
        </w:rPr>
        <w:t>(nároky na vodní hospodářství, vypouštění odpadních vod včetně souhlasů, ochranná pásma - pásmo hygienické ochrany, povolené kvalitativní a kvantitativní ukazatelé odpadních vod, provozní a havarijní řády, řešení napojení stavby na stávající sítě technického vybavení),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napojení na dopravní systém </w:t>
      </w:r>
      <w:r>
        <w:rPr>
          <w:rFonts w:ascii="TimesNewRomanPS-ItalicMT" w:hAnsi="TimesNewRomanPS-ItalicMT" w:cs="TimesNewRomanPS-ItalicMT"/>
          <w:i/>
          <w:iCs/>
        </w:rPr>
        <w:t>(počty stání a dopravní trasy, dopravní frekvence),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rozsah náhradní výsadby a ozelenění </w:t>
      </w:r>
      <w:r>
        <w:rPr>
          <w:rFonts w:ascii="TimesNewRomanPS-ItalicMT" w:hAnsi="TimesNewRomanPS-ItalicMT" w:cs="TimesNewRomanPS-ItalicMT"/>
          <w:i/>
          <w:iCs/>
        </w:rPr>
        <w:t>(náhradní výsadba, ozelenění),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MT" w:hAnsi="TimesNewRomanPSMT" w:cs="TimesNewRomanPSMT"/>
        </w:rPr>
        <w:t xml:space="preserve">bezpečnost práce </w:t>
      </w:r>
      <w:r>
        <w:rPr>
          <w:rFonts w:ascii="TimesNewRomanPS-ItalicMT" w:hAnsi="TimesNewRomanPS-ItalicMT" w:cs="TimesNewRomanPS-ItalicMT"/>
          <w:i/>
          <w:iCs/>
        </w:rPr>
        <w:t>(zdroje ohrožení zdraví a bezpečnosti pracovníků, způsob omezení rizikových vlivů, bezpečnostní pásma a únikové cesty, ochrana pracovníků a pracovního prostředí před účinky škodlivin, skladování nebezpečných látek a manipulace s nimi),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posouzení stavby z hlediska technických požadavků na užívání stavby osobami s omezenou schopností pohybu a orientace, údaje o splnění požadavků z projednání na bezbariérové řešení stavby,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uvedou se podmiňující, vyvolané a jiné související investice a předpoklady resp. nároky na jejich zabezpečení,</w:t>
      </w:r>
    </w:p>
    <w:p w:rsidR="0033325D" w:rsidRDefault="0033325D" w:rsidP="003332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92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uvedou se statické výpočty prokazující, že stavba je navržena tak, aby zatížení na ní působící v průběhu výstavby a užívání nemělo za následek:</w:t>
      </w:r>
    </w:p>
    <w:p w:rsidR="0033325D" w:rsidRDefault="0033325D" w:rsidP="0033325D">
      <w:pPr>
        <w:pStyle w:val="Odstavecseseznamem"/>
        <w:numPr>
          <w:ilvl w:val="1"/>
          <w:numId w:val="21"/>
        </w:numPr>
        <w:autoSpaceDE w:val="0"/>
        <w:autoSpaceDN w:val="0"/>
        <w:adjustRightInd w:val="0"/>
        <w:ind w:left="144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poškození (zřícení) stavby nebo její části,</w:t>
      </w:r>
    </w:p>
    <w:p w:rsidR="0033325D" w:rsidRDefault="0033325D" w:rsidP="0033325D">
      <w:pPr>
        <w:pStyle w:val="Odstavecseseznamem"/>
        <w:numPr>
          <w:ilvl w:val="1"/>
          <w:numId w:val="21"/>
        </w:numPr>
        <w:autoSpaceDE w:val="0"/>
        <w:autoSpaceDN w:val="0"/>
        <w:adjustRightInd w:val="0"/>
        <w:ind w:left="144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větší stupeň nepřípustného přetvoření.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B.1.5 Údaje o splnění stanovených podmínek</w:t>
      </w:r>
    </w:p>
    <w:p w:rsidR="0033325D" w:rsidRDefault="0033325D" w:rsidP="0033325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podmínky rozhodnutí o umístění stavby,</w:t>
      </w:r>
    </w:p>
    <w:p w:rsidR="0033325D" w:rsidRDefault="0033325D" w:rsidP="0033325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podmínky posuzování vlivů na životní prostředí,</w:t>
      </w:r>
    </w:p>
    <w:p w:rsidR="0033325D" w:rsidRDefault="0033325D" w:rsidP="0033325D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dodržení kapacitních a dalších stanovených údajů a zdůvodnění případných navržených změn oproti předcházejícímu stupni dokumentace.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B.1.6 Příprava pro výstavbu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uvolnění staveniště (pozemků i objektů),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využití stávajících nebo budovaných objektů,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dočasné využití stávajících objektů po dobu výstavby,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provedení demolic a místa skládek,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likvidace porostů (přesázení, kácení, zužitkování),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likvidace škodlivých odpadů, řešit podle druhu odpadu,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zabezpečení ochranných pásem, chráněných objektů i porostů po dobu výstavby,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přeložky podzemních a nadzemních vedení, dopravních tras, vodních toků,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omezující nebo bezpečnostní opatření při přípravě staveniště a v průběhu výstavby (odstřel horniny či objektu),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výluka dopravy a jiná omezení dopravy (železniční, silniční apod.),</w:t>
      </w:r>
    </w:p>
    <w:p w:rsidR="0033325D" w:rsidRDefault="0033325D" w:rsidP="0033325D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omezení v dodávce energií.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B.1.7 Výkup pozemků a staveb nebo jejich částí (bytů a nebytových prostor)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celkový rozsah trvalého a dočasného záboru nebo jiného dotčení pozemků a staveb nebo bytů a nebytových prostor nebo jejich částí požadovaných pro stavbu.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B.1.8 Výjimky z předpisů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Seznam souhlasů s odchylným řešením, výjimek a úlevových řešení z předpisů, kterými je podmíněno navrhované technické řešení včetně dokladů o jejich udělení.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B.2 Provozní a dopravní technologie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B.3. Vliv stavby na životní prostředí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Rozsah zpracování vlivu stavby na životní prostředí pro projekt vyplyne z upřesnění a změn v technické části dokumentace oproti předchozímu stupni dokumentace, včetně ochrany proti hluku. Pokud došlo ke změně oproti hlukové studii, která byla součástí přípravné dokumentace, doplní se i hluková studie, biologický průzkum a hodnocení vlivů na životní prostředí v případech, kdy není nařízeno posuzování podle zákona č. 100/2001 Sb., o posuzování vlivů na životní prostředí, ve znění pozdějších předpisů.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spacing w:before="120" w:after="60"/>
        <w:ind w:left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B.4 Odolnost a zabezpečení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Projektová dokumentace staveb z hlediska zapracování všech nezbytných požadavků bezpečnosti a ochrany zdraví při práci, odolnost a zabezpečení stavby z hlediska požární ochrany, hygieny, případně obrany státu, odolnost a zabezpečení před vlivy trakčních a energetických vedení (ve smyslu § 41 vyhlášky č. 246/2001 Sb., o stanovení podmínek požární bezpečnosti a výkonu státního požárního dozoru (vyhláška o požární prevenci), ve znění pozdějších předpisů).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popis s uvedením, jak daný návrh řešení splňuje požadavky příslušných vyhlášek, předpisů a norem (bezpečnost a ochrana zdraví při práci včetně možných rizik, technické řešení stavby a jejího provozu z hlediska požární ochrany včetně vodních zdrojů, vnějších požárních hydrantů, požární signalizace, požárních stanic nebo zbrojnic apod.). Dále se uvede charakteristika objektů a provozů z hlediska požární ochrany. Bude uvedeno konkrétní prokázání splnění stanovených a požadovaných podmínek z předchozího stupně dokumentace.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B.5 Energetické výpočty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B.6 Protikorozní ochrana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B.7 Graf dynamického průběhu rychlostí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B.8 Dopravní opatření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Uvedou se všechna dopravní opatření (drážní a silniční), zejména pak výluky, náhradní doprava, případné objížďky, uzávěry atd.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B.9 Trvalé a dočasné zábory pozemků ze ZPF a PUPFL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celkový rozsah trvalého a dočasného záboru pozemků nebo rozsah omezení využívání pozemků v členění dle druhu na ZPF a PUPFL a odchylky od PD. Změna územního rozsahu stavby je možná jen po předchozím projednání se zadavatelem P.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lastRenderedPageBreak/>
        <w:t>B.10 Úspora energie a ochrana tepla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se:</w:t>
      </w:r>
    </w:p>
    <w:p w:rsidR="0033325D" w:rsidRDefault="0033325D" w:rsidP="0033325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splnění požadavků tepelné ochrany budov na energetickou náročnost budov a splnění porovnávacích ukazatelů podle jednotné metody výpočtu energetické náročnosti budov,</w:t>
      </w:r>
    </w:p>
    <w:p w:rsidR="0033325D" w:rsidRDefault="0033325D" w:rsidP="0033325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celkové energetické spotřeby stavby.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B.11 Ochrana stavby před škodlivými vlivy vnějšího prostředí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návrh a posouzení z hlediska ochrany stavby před radonem (pro potřeby realizace pozemních staveb), agresivní podzemní vodou, seismicitou, poddolováním, ochrannými a bezpečnostními pásmy, apod.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B.12 Ochrana obyvatelstva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splnění základních požadavků na situování a stavební řešení stavby z hlediska ochrany obyvatelstva, pokud připadá u stavby v úvahu.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B.13 Bezbariérové užívání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Uvede se návrh řešení pro zajištění bezbariérového užívání stavby osobami s omezenou schopností pohybu a orientace:</w:t>
      </w:r>
    </w:p>
    <w:p w:rsidR="0033325D" w:rsidRDefault="0033325D" w:rsidP="0033325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řešení pro osoby s omezenou schopností pohybu,</w:t>
      </w:r>
    </w:p>
    <w:p w:rsidR="0033325D" w:rsidRDefault="0033325D" w:rsidP="0033325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řešení pro osoby se zrakovým postižením,</w:t>
      </w:r>
    </w:p>
    <w:p w:rsidR="0033325D" w:rsidRDefault="0033325D" w:rsidP="0033325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řešení pro osoby se sluchovým postižením,</w:t>
      </w:r>
    </w:p>
    <w:p w:rsidR="0033325D" w:rsidRDefault="0033325D" w:rsidP="0033325D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seznam použitých zvláštních a vybraných stavebních výrobků pro tyto osoby, včetně řešení užívání informačních systémů.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Situace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Situace stavby je tvořena souhrnnými a přehlednými výkresy stavby, popřípadě architektonickými výkresy stavby nebo význačnými objekty k posouzení souladu řešení stavby s okolní zástavbou nebo krajinou s následujícím členěním: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C.1 Přehledná situace oblasti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Přehledná situace se zpracovává obvykle v měřítku 1:5000 nebo 1:10000 (popřípadě 1:50000), s vyznačením rozsahu stavby, rozhodujících objektů, případně s vazbami na okolí stavby, stávající plánované stavby, dopravní a technická infrastruktura, určení dopravních tras pro dopravu materiálu na stavbu.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C.2 Koordinační situace stavby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Koordinační situace stavby se zpracovává obvykle v měřítku 1:1000, u železničních stanic 1:500,</w:t>
      </w:r>
      <w:r>
        <w:rPr>
          <w:rFonts w:ascii="TimesNewRomanPSMT" w:hAnsi="TimesNewRomanPSMT" w:cs="TimesNewRomanPSMT"/>
          <w:sz w:val="20"/>
        </w:rPr>
        <w:br/>
      </w:r>
      <w:r>
        <w:rPr>
          <w:rFonts w:ascii="TimesNewRomanPSMT" w:hAnsi="TimesNewRomanPSMT" w:cs="TimesNewRomanPSMT"/>
          <w:b/>
          <w:sz w:val="20"/>
        </w:rPr>
        <w:t>u pozemních objektů 1:200</w:t>
      </w:r>
      <w:r>
        <w:rPr>
          <w:rFonts w:ascii="TimesNewRomanPSMT" w:hAnsi="TimesNewRomanPSMT" w:cs="TimesNewRomanPSMT"/>
          <w:sz w:val="20"/>
        </w:rPr>
        <w:t xml:space="preserve"> (včetně změny stavby, která je kulturní památkou, u stavby v památkové rezervaci nebo v památkové zóně). Koordinační situace stavby slouží i pro potřeby organizace výstavby.</w:t>
      </w:r>
    </w:p>
    <w:p w:rsidR="0033325D" w:rsidRDefault="0033325D" w:rsidP="0033325D">
      <w:pPr>
        <w:rPr>
          <w:rFonts w:ascii="TimesNewRomanPSMT" w:hAnsi="TimesNewRomanPSMT" w:cs="TimesNewRomanPSMT"/>
          <w:b/>
          <w:bCs/>
          <w:sz w:val="20"/>
        </w:rPr>
      </w:pPr>
      <w:r>
        <w:rPr>
          <w:rFonts w:ascii="TimesNewRomanPSMT" w:hAnsi="TimesNewRomanPSMT" w:cs="TimesNewRomanPSMT"/>
          <w:b/>
          <w:bCs/>
          <w:sz w:val="20"/>
        </w:rPr>
        <w:t>Obsahuje: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polohopis a výškopis území stavby a jejího nejbližšího okolí s vyznačením hranic pozemků a pozemních staveb a jejich parcelních čísel podle katastru nemovitostí, včetně sousedních pozemků a pozemních staveb, uvede se souřadnicový a výškový systém,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polohové a výškové vyznačení veškerého stávajícího i plánovaného dlouhodobého hmotného majetku, včetně všech inženýrských sítí a jiných zakrytých zařízení ověřených jejich vlastníky popřípadě správci (včetně okótovaných rozměrů a odstupů objektů), odstupové vzdálenosti včetně vymezení požárně nebezpečných prostorů, přístupové komunikace a nástupní plochy pro požární techniku a zdroje požární vody,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obvodu stavby, obvodu staveniště včetně ploch zařízení staveniště,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ploch pozemků odnímaných z půdního a lesního fondu (ZPF A PUPFL) s rozlišením záboru trvalého a dočasného,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všech stávajících ochranných pásem a chráněných území a bezpečnostních vzdáleností,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nově navržených ochranných pásem,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hranice stávajícího a nového obvodu dráhy,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úpravy pro osoby s omezenou schopností pohybu a orientace (na přístupových cestách, na komunikacích, apod.),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demolic, rušených podzemních a nadzemních inženýrských sítí, případně kácení vzrostlé zeleně,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polohové a výškové vyznačení navrhované výstavby (všech PS a SO), včetně jejího napojení na stávající stav,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legenda se seznamem a čísly všech PS a SO,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vjezdy na staveniště, zdroje vody a energií pro stavbu.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 staveb se složitým technickým řešením se kromě koordinační situace stavby zpracovávají i koordinační příčné řezy.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C.3 Výkresy architektonického řešení stavby nebo význačných objektů</w:t>
      </w:r>
    </w:p>
    <w:p w:rsidR="0033325D" w:rsidRDefault="0033325D" w:rsidP="0033325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Pokud je to nutné, zpracují se výkresy architektonického řešení stavby nebo význačných objektů.</w:t>
      </w:r>
    </w:p>
    <w:p w:rsidR="0033325D" w:rsidRDefault="0033325D" w:rsidP="0033325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stavby, která je kulturní památkou, a u stavby v památkové rezervaci nebo v památkové zóně též výkresy půdorysu základů, půdorysu jednotlivých podlaží a střechy, řezů se schématickým vyznačením nosných konstrukcí, úprav vstupů původního i upraveného terénu, v měřítku 1:50.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Technologická část 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Technologická část se zpracovává samostatně pro každý provozní soubor. Bližší technické a technologické podrobnosti jsou řešeny vyhláškou č. 177/1995 Sb., kterou se vydává stavební a technický řád drah, ve znění pozdějších předpisů.</w:t>
      </w:r>
    </w:p>
    <w:p w:rsidR="0033325D" w:rsidRDefault="0033325D" w:rsidP="0033325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Členění dokumentace technologické části je stanoveno následovně, pokud nebude dohodnuto jinak s tím, že součástí příslušného PS je i zabezpečení přechodného stavu po dobu výstavby (provizorní zabezpečovací zařízení apod.):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ind w:left="714"/>
        <w:jc w:val="both"/>
        <w:rPr>
          <w:rFonts w:ascii="TimesNewRomanPSMT" w:hAnsi="TimesNewRomanPSMT" w:cs="TimesNewRomanPSMT"/>
          <w:b/>
          <w:bCs/>
        </w:rPr>
      </w:pPr>
    </w:p>
    <w:p w:rsidR="0033325D" w:rsidRDefault="0033325D" w:rsidP="0033325D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Železniční zabezpečovací zařízení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Staniční zabezpečovací zařízení (SZZ)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Traťové zabezpečovací zařízení (TZZ)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Přejezdové zabezpečovací zařízení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Spádovištní zabezpečovací zařízení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Dálkové ovládání zabezpečovacího zařízení</w:t>
      </w:r>
    </w:p>
    <w:p w:rsidR="0033325D" w:rsidRDefault="0033325D" w:rsidP="0033325D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Indikátory horkoběžnosti a indikátory plochých kol</w:t>
      </w:r>
    </w:p>
    <w:p w:rsidR="0033325D" w:rsidRDefault="0033325D" w:rsidP="0033325D">
      <w:pPr>
        <w:ind w:left="1058"/>
        <w:rPr>
          <w:rFonts w:ascii="TimesNewRomanPSMT" w:hAnsi="TimesNewRomanPSMT" w:cs="TimesNewRomanPSMT"/>
          <w:bCs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Železniční sdělovací zařízení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Místní kabelizace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Rozhlasové zařízení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Integrovaná telekomunikační zařízení (ITZ)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Elektrická požární a zabezpečovací signalizace (EPS, EZS)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 w:right="-142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Dálkový kabel (DK), dálkový optický kabel (DOK), závěsný optický kabel (ZOK)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Zapojení dálkového kabelu (DK), dálkového optického kabelu (DOK) a závěsného optického kabelu (ZOK) do provozu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Informační systém pro cestující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Traťové radiové spojení</w:t>
      </w:r>
    </w:p>
    <w:p w:rsidR="0033325D" w:rsidRDefault="0033325D" w:rsidP="0033325D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Jiná sdělovací zařízení (ústředny, přenosová zařízení)</w:t>
      </w:r>
    </w:p>
    <w:p w:rsidR="0033325D" w:rsidRDefault="0033325D" w:rsidP="0033325D">
      <w:pPr>
        <w:ind w:left="1058"/>
        <w:rPr>
          <w:rFonts w:ascii="TimesNewRomanPSMT" w:hAnsi="TimesNewRomanPSMT" w:cs="TimesNewRomanPSMT"/>
          <w:bCs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Silnoproudá technologie včetně DŘT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Dispečerská řídící technika (DŘT)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Technologie rozvoden VVN/VN (energetika)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Silnoproudá technologie trakčních napájecích stanic (měníren, trakčních transformoven)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Silnoproudá technologie trakčních spínacích stanic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Technologie transformačních stanic vn/nn (energetika)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Silnoproudá technologie elektrických stanic 6 kV, 50 Hz pro napájení zabezpečovacího zařízení (NTS, STS, TTS)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Provozní rozvod silnoproudu</w:t>
      </w:r>
    </w:p>
    <w:p w:rsidR="0033325D" w:rsidRDefault="0033325D" w:rsidP="0033325D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left="1418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Napájení zabezpečovacích a sdělovacích zařízení z trakčního vedení</w:t>
      </w:r>
    </w:p>
    <w:p w:rsidR="0033325D" w:rsidRDefault="0033325D" w:rsidP="0033325D">
      <w:pPr>
        <w:ind w:left="1058"/>
        <w:rPr>
          <w:rFonts w:ascii="TimesNewRomanPSMT" w:hAnsi="TimesNewRomanPSMT" w:cs="TimesNewRomanPSMT"/>
          <w:bCs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left="2127" w:hanging="1069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Ostatní technologická zařízení</w:t>
      </w:r>
    </w:p>
    <w:p w:rsidR="0033325D" w:rsidRDefault="0033325D" w:rsidP="0033325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Osobní výtahy, schodišťové výtahy</w:t>
      </w:r>
    </w:p>
    <w:p w:rsidR="0033325D" w:rsidRDefault="0033325D" w:rsidP="0033325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Eskalátory</w:t>
      </w:r>
    </w:p>
    <w:p w:rsidR="0033325D" w:rsidRDefault="0033325D" w:rsidP="0033325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left="2127" w:hanging="1059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lastRenderedPageBreak/>
        <w:t>Měření a regulace (MaR), automatický systém řízení (ASŘ), elektrická požární signalizace (EPS)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Pro posouzení shody s technickými specifikacemi interoperability (u staveb vybrané železniční sítě ČR) zpracuje dodavatel dokumentace seznam PS a SO, které mají přímou vazbu na některý ze základních nebo dalších závazných parametrů členěných dle subsystémů „infrastruktura, řízení a zabezpečení, energie“.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Projekt provozního souboru se skládá z technické zprávy, výkresové části, seznamu prací, dodávek a hlavního materiálu (výkazy výměr) včetně technických specifikací, přičemž z výkresů musí být zřejmý stávající i navrhovaný stav:</w:t>
      </w:r>
    </w:p>
    <w:p w:rsidR="0033325D" w:rsidRDefault="0033325D" w:rsidP="0033325D">
      <w:pPr>
        <w:pStyle w:val="Odstavecseseznamem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>technická zpráva všech provozních souborů bude obsahovat: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popis a základní údaje o současném stavu včetně identifikačních údajů provozního souboru,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seznam vstupních podkladů,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popis a zdůvodnění navrženého technického řešení a hlavních technických parametrů,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popis navrženého řešení ve vztahu k péči o životní prostředí, ve vztahu k užívání,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odůvodnění případných výjimek z předpisů a odchylek od předchozího stupně dokumentace,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údaje o splnění podmínek, daných schvalovacím řízením k jednotlivým provozním souborům předchozího stupně dokumentace,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návaznost na ostatní provozní soubory a stavební objekty,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ochrana před nebezpečným dotykovým napětím,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stavebně montážní postupy výstavby,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výpočet spotřeby elektrické energie, či jiných médií,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potřebné výpočty nezbytné pro zdůvodnění navrhovaného řešení, pokud nejsou součástí části B. Souhrnné části dokumentace,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souhlas odborných útvarů s použitím neschváleného a nezavedeného zařízení,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přehled použitých norem, předpisů, vzorových listů apod.,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rozhodující zápisy a záznamy z pracovních porad v průběhu zpracování dokumentace, seznam vstupních podkladů.</w:t>
      </w:r>
    </w:p>
    <w:p w:rsidR="0033325D" w:rsidRDefault="0033325D" w:rsidP="0033325D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</w:rPr>
      </w:pPr>
      <w:r>
        <w:rPr>
          <w:rFonts w:ascii="TimesNewRomanPSMT" w:hAnsi="TimesNewRomanPSMT" w:cs="TimesNewRomanPSMT"/>
          <w:bCs/>
        </w:rPr>
        <w:t>shrnutí rozhodujících stanovisek majících vliv na technické řešení, včetně uvedení odkazu na dokladovou část obsahující všechna nezbytná projednání.</w:t>
      </w:r>
    </w:p>
    <w:p w:rsidR="0033325D" w:rsidRDefault="0033325D" w:rsidP="003332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>výkresy</w:t>
      </w:r>
    </w:p>
    <w:p w:rsidR="0033325D" w:rsidRDefault="0033325D" w:rsidP="003332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>seznam prací, dodávek a hlavního materiálu (slouží pouze pro potřebu stavebníka)</w:t>
      </w:r>
    </w:p>
    <w:p w:rsidR="0033325D" w:rsidRDefault="0033325D" w:rsidP="0033325D">
      <w:pPr>
        <w:spacing w:before="120"/>
        <w:rPr>
          <w:rFonts w:ascii="TimesNewRomanPS-ItalicMT" w:hAnsi="TimesNewRomanPS-ItalicMT" w:cs="TimesNewRomanPS-ItalicMT"/>
          <w:bCs/>
          <w:i/>
          <w:iCs/>
          <w:sz w:val="20"/>
        </w:rPr>
      </w:pPr>
      <w:r>
        <w:rPr>
          <w:rFonts w:ascii="TimesNewRomanPSMT" w:hAnsi="TimesNewRomanPSMT" w:cs="TimesNewRomanPSMT"/>
          <w:bCs/>
          <w:sz w:val="20"/>
        </w:rPr>
        <w:t>Další požadované údaje pro konkrétní provozní soubory jsou uvedeny v dalším textu části D. Technologická část dle specifických potřeb jednotlivých profesí.</w:t>
      </w:r>
      <w:r>
        <w:rPr>
          <w:rFonts w:ascii="TimesNewRomanPSMT" w:hAnsi="TimesNewRomanPSMT" w:cs="TimesNewRomanPSMT"/>
          <w:bCs/>
          <w:i/>
          <w:sz w:val="20"/>
        </w:rPr>
        <w:t xml:space="preserve"> (</w:t>
      </w:r>
      <w:r>
        <w:rPr>
          <w:rFonts w:ascii="TimesNewRomanPS-ItalicMT" w:hAnsi="TimesNewRomanPS-ItalicMT" w:cs="TimesNewRomanPS-ItalicMT"/>
          <w:bCs/>
          <w:i/>
          <w:iCs/>
          <w:sz w:val="20"/>
        </w:rPr>
        <w:t>Pokud není nutno vzhledem k věcnému charakteru některý z bodů části a) akceptovat, je možno jej vypustit.)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D.3.7 PROVOZNÍ ROZVOD SILNOPROUDU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- </w:t>
      </w:r>
      <w:r>
        <w:rPr>
          <w:rFonts w:ascii="TimesNewRomanPSMT" w:hAnsi="TimesNewRomanPSMT" w:cs="TimesNewRomanPSMT"/>
          <w:sz w:val="20"/>
        </w:rPr>
        <w:t>bude zpracována dle části D., bod a), navíc bude obsahovat: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proudových soustav a napětí,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celkový instalovaný a soudobý výkon – kW,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stupeň důležitosti dodávky elektrické energie,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kompenzaci a dálkové měření odběru elektrické energie,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druh prostředí, uzemnění,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blokování, měření a signalizace,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ovládání (místně, dálkově, v odůvodněných případech ústředně)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přehledové schéma propojení rozvaděčů,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dispozice se zakreslenými hlavními trasami rozvodů, počínaje hlavním rozvaděčem až po podružné rozvaděče 1:50 (1:100),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jednopólová schémata rozvaděčů.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Seznam prací, dodávek a hlavních materiálů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D.4.1 OSOBNÍ VÝTAHY, SCHODIŠŤOVÉ VÝTAHY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- </w:t>
      </w:r>
      <w:r>
        <w:rPr>
          <w:rFonts w:ascii="TimesNewRomanPSMT" w:hAnsi="TimesNewRomanPSMT" w:cs="TimesNewRomanPSMT"/>
          <w:sz w:val="20"/>
        </w:rPr>
        <w:t>bude zpracována dle části D., bod a), navíc bude obsahovat: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specifikace technických parametrů a podmínek na dodávku technologického zařízení,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posudek k instalaci výtahu,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el. instalovaný a soudobý výkon – kW.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dispozice, řezy.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Seznam prací, dodávek a hlavních materiálů (výkazy výměr)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D.4.2 ESKALÁTORY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- </w:t>
      </w:r>
      <w:r>
        <w:rPr>
          <w:rFonts w:ascii="TimesNewRomanPSMT" w:hAnsi="TimesNewRomanPSMT" w:cs="TimesNewRomanPSMT"/>
          <w:sz w:val="20"/>
        </w:rPr>
        <w:t>bude zpracována dle části D., bod a), navíc bude obsahovat: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specifikace technických parametrů a podmínek na dodávku technologického zařízení,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el. instalovaný a soudobý výkon – kW.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dispozice, řezy.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Seznam prací, dodávek a hlavních materiálů </w:t>
      </w:r>
      <w:r>
        <w:rPr>
          <w:rFonts w:ascii="TimesNewRomanPSMT" w:hAnsi="TimesNewRomanPSMT" w:cs="TimesNewRomanPSMT"/>
          <w:sz w:val="20"/>
        </w:rPr>
        <w:t>(</w:t>
      </w:r>
      <w:r>
        <w:rPr>
          <w:rFonts w:ascii="TimesNewRomanPS-BoldMT" w:hAnsi="TimesNewRomanPS-BoldMT" w:cs="TimesNewRomanPS-BoldMT"/>
          <w:b/>
          <w:bCs/>
          <w:sz w:val="20"/>
        </w:rPr>
        <w:t>výkazy výměr)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D.4.3 MĚŘENÍ A REGULACE (MAR), AUTOMATICKÝ SYSTÉM ŘÍZENÍ (ASŘ), ELEKTRICKÁ POŽÁRNÍ SIGNALIZACE (EPS)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-ItalicMT" w:hAnsi="TimesNewRomanPS-ItalicMT" w:cs="TimesNewRomanPS-ItalicMT"/>
          <w:i/>
          <w:iCs/>
          <w:sz w:val="20"/>
        </w:rPr>
        <w:t xml:space="preserve">- </w:t>
      </w:r>
      <w:r>
        <w:rPr>
          <w:rFonts w:ascii="TimesNewRomanPSMT" w:hAnsi="TimesNewRomanPSMT" w:cs="TimesNewRomanPSMT"/>
          <w:sz w:val="20"/>
        </w:rPr>
        <w:t>bude zpracována dle části D., bod a), navíc bude obsahovat: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technické údaje MaR, napájecí napěťová soustava, způsob ochrany před úrazem elektrickým proudem,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technického řešení regulace jednotlivých technologických celků vzduchotechniky, ústředního topení, chlazení a zdravotechniky nebo systémů signalizace,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soupis datových bodů rozdělených po jednotlivých rozvaděčích,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typy navržených zařízení,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případné vazby mezi elektroinstalací a elektrickou požární signalizací,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způsobu uložení kabelového vedení vůči stavebním konstrukcím,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hlavních okruhů ČSN norem, které byly v projektu použity a podle kterých je nutno provádět montáž,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návrhu na komplexní zkoušky MaR, ASŘ, nebo EPS,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 případě revize popisuje stručně okruh změn, kterých se daná revize týká.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zákresy do půdorysů budou vypracovány v měř. 1:100 nebo 1:250 tak, aby byly přehledné, včetně výškového umístění hlásičů,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regulační schémata jednotlivých technologických a funkčních celků s vyznačenými datovými body a fyzikálními hodnotami.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Seznam prací, dodávek a hlavních materiálů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Stavební část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Stavební část se zpracovává samostatně pro každý stavební objekt.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Bližší technické podrobnosti jsou řešeny vyhláškou č. 177/1995 Sb., kterou se vydává stavební a technický řád drah, ve znění pozdějších předpisů.</w:t>
      </w:r>
    </w:p>
    <w:p w:rsidR="0033325D" w:rsidRDefault="0033325D" w:rsidP="0033325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Členění dokumentace stavební části je stanoveno následovně:</w:t>
      </w:r>
    </w:p>
    <w:p w:rsidR="0033325D" w:rsidRDefault="0033325D" w:rsidP="0033325D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1418" w:hanging="709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Inženýrské objekty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Kolejový (železniční) svršek a spodek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Nástupiště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Železniční přejezdy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Mosty, propustky a zdi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Ostatní inženýrské objekty (inženýrské sítě a hydrotechnické objekty)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Potrubní vedení (voda, plyn, kanalizace)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Železniční tunely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Pozemní komunikace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Kabelovody, kolektory</w:t>
      </w:r>
    </w:p>
    <w:p w:rsidR="0033325D" w:rsidRDefault="0033325D" w:rsidP="0033325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Protihlukové objekty</w:t>
      </w:r>
    </w:p>
    <w:p w:rsidR="0033325D" w:rsidRDefault="0033325D" w:rsidP="0033325D">
      <w:pPr>
        <w:rPr>
          <w:rFonts w:ascii="TimesNewRomanPS-BoldMT" w:hAnsi="TimesNewRomanPS-BoldMT" w:cs="TimesNewRomanPS-BoldMT"/>
          <w:bCs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1418" w:hanging="709"/>
        <w:jc w:val="both"/>
        <w:rPr>
          <w:rFonts w:ascii="TimesNewRomanPS-BoldMT" w:hAnsi="TimesNewRomanPS-BoldMT" w:cs="TimesNewRomanPS-BoldMT"/>
          <w:b/>
          <w:bCs/>
          <w:u w:val="single"/>
        </w:rPr>
      </w:pPr>
      <w:r>
        <w:rPr>
          <w:rFonts w:ascii="TimesNewRomanPS-BoldMT" w:hAnsi="TimesNewRomanPS-BoldMT" w:cs="TimesNewRomanPS-BoldMT"/>
          <w:b/>
          <w:bCs/>
          <w:u w:val="single"/>
        </w:rPr>
        <w:t>Pozemní stavební objekty a technické vybavení pozemních stavebních objektů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Pozemní objekty budov (provozní, technologické, skladové)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Zastřešení nástupišť, přístřešky na nástupištích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Individuální protihluková opatření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lastRenderedPageBreak/>
        <w:t>Orientační systém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Demolice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Zdravotně technická instalace, vnitřní plynovod, požární vodovod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Vytápění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Vzduchotechnická zařízení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Informační systém veřejné části výpravních budov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Umělé osvětlení a vnitřní silnoproudé rozvody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Hromosvody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Vnitřní slaboproudé rozvody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Vnitřní vybavení budov (interiér)</w:t>
      </w:r>
    </w:p>
    <w:p w:rsidR="0033325D" w:rsidRDefault="0033325D" w:rsidP="0033325D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Vnější vybavení budov</w:t>
      </w:r>
    </w:p>
    <w:p w:rsidR="0033325D" w:rsidRDefault="0033325D" w:rsidP="0033325D">
      <w:pPr>
        <w:rPr>
          <w:rFonts w:ascii="TimesNewRomanPS-BoldMT" w:hAnsi="TimesNewRomanPS-BoldMT" w:cs="TimesNewRomanPS-BoldMT"/>
          <w:bCs/>
          <w:sz w:val="20"/>
        </w:rPr>
      </w:pPr>
    </w:p>
    <w:p w:rsidR="0033325D" w:rsidRDefault="0033325D" w:rsidP="0033325D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ind w:left="1418" w:hanging="709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Trakční a energetická zařízení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Trakční vedení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Napájecí stanice (měnírna, trakční transformovna) – stavební část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Spínací stanice – stavební část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Ohřev výměn (elektrický - EOV, plynový - POV)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Elektrické předtápěcí zařízení (EPZ)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Rozvody vn, nn, osvětlení a dálkové ovládání odpojovačů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Ukolejnění kovových konstrukcí</w:t>
      </w:r>
    </w:p>
    <w:p w:rsidR="0033325D" w:rsidRDefault="0033325D" w:rsidP="0033325D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ind w:firstLine="65"/>
        <w:jc w:val="both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Vnější uzemnění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Pro posouzení shody s technickými specifikacemi interoperability (u staveb vybrané železniční sítě ČR) zpracuje dodavatel dokumentace seznam PS a SO, které mají přímou vazbu na některý ze základních nebo dalších závazných parametrů členěných dle subsystémů „infrastruktura, řízení a zabezpečení, energie“.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TimesNewRomanPSMT" w:hAnsi="TimesNewRomanPSMT" w:cs="TimesNewRomanPSMT"/>
          <w:b/>
          <w:bCs/>
        </w:rPr>
      </w:pPr>
      <w:r>
        <w:rPr>
          <w:rFonts w:ascii="TimesNewRomanPSMT" w:hAnsi="TimesNewRomanPSMT" w:cs="TimesNewRomanPSMT"/>
          <w:b/>
          <w:bCs/>
        </w:rPr>
        <w:t>Projekt stavebního objektu se skládá z technické zprávy, výkresů a výkazu výměr, přičemž z výkresů musí být zřejmý dosavadní i navrhovaný stav. Součástí dokumentace mohou být statické a dynamické výpočty hlavních a rozhodujících stavebních konstrukcí, které se uvedou ve výpočtech příslušného stavebního objektu.</w:t>
      </w:r>
    </w:p>
    <w:p w:rsidR="0033325D" w:rsidRDefault="0033325D" w:rsidP="0033325D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>technická zpráva všech stavebních objektů bude obsahovat: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a základní údaje o současném stavu včetně identifikačních údajů zadavatele a stavebního objektu,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seznam vstupních podkladů,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navrženého technického řešení a technických parametrů a jeho zdůvodnění,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statická posouzení, jsou-li u některých konstrukcí TNP vyžadována,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kapacitní, hydrotechnické a jiné výpočty potřebné pro zdůvodnění navrhovaného řešení,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souhlas odborných útvarů zadavatele s použitím neschváleného a nezavedeného zařízení,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souhlas s navrženým řešením, pokud je technickými normami a předpisy (TNP) požadován,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doložení výjimek z předpisů, TKP a uvedení odchylných řešení od předchozího stupně dokumentace,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použitých norem, TKP, předpisů, vzorových listů apod. a uvedení jejich závaznosti pro realizaci,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shrnutí rozhodujících závěrů z pracovních porad včetně uvedení odkazu na dokladovou část,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shrnutí rozhodujících stanovisek majících vliv na technické řešení včetně uvedení odkazu na dokladovou část obsahující všechna nezbytná projednání (správce pozemní komunikace, PČR, HZS správci vodotečí atd.),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průkaz o zapracování výsledků doplňujících průzkumů,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návaznost na ostatní stavební objekty a provozní soubory (průkaz koordinace, popis rozhraní jednotlivých SO, návaznost na jiné – související, cizí, výhledové investice),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splnění podmínek daných schvalovacím řízením k jednotlivým stavebním objektům předchozího stupně dokumentace,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zásady bezpečného provozu včetně ochrany osob, zvířat i majetku před úrazem nebo před poškozením, 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 poddolovaných územích je nutné technickou zprávu doplnit průkazem a řešením stavu únosnosti,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požadavky na geotechnický monitoring,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měření posunů a přetvoření stavebních objektům,</w:t>
      </w:r>
    </w:p>
    <w:p w:rsidR="0033325D" w:rsidRDefault="0033325D" w:rsidP="0033325D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řešení přístupu a užívání stavebních objektů osobami s omezenou schopností pohybu a orientace.</w:t>
      </w:r>
    </w:p>
    <w:p w:rsidR="0033325D" w:rsidRDefault="0033325D" w:rsidP="0033325D">
      <w:pPr>
        <w:rPr>
          <w:rFonts w:ascii="TimesNewRomanPS-ItalicMT" w:hAnsi="TimesNewRomanPS-ItalicMT" w:cs="TimesNewRomanPS-ItalicMT"/>
          <w:i/>
          <w:iCs/>
          <w:sz w:val="20"/>
        </w:rPr>
      </w:pPr>
      <w:r>
        <w:rPr>
          <w:rFonts w:ascii="TimesNewRomanPS-ItalicMT" w:hAnsi="TimesNewRomanPS-ItalicMT" w:cs="TimesNewRomanPS-ItalicMT"/>
          <w:i/>
          <w:iCs/>
          <w:sz w:val="20"/>
        </w:rPr>
        <w:t>Pokud není nutno vzhledem k věcnému charakteru některý z bodů částí a) akceptovat, je možno jej vypustit.</w:t>
      </w:r>
    </w:p>
    <w:p w:rsidR="0033325D" w:rsidRDefault="0033325D" w:rsidP="0033325D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>výkresová část</w:t>
      </w:r>
    </w:p>
    <w:p w:rsidR="0033325D" w:rsidRDefault="0033325D" w:rsidP="0033325D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bCs/>
          <w:i/>
        </w:rPr>
      </w:pPr>
      <w:r>
        <w:rPr>
          <w:rFonts w:ascii="TimesNewRomanPSMT" w:hAnsi="TimesNewRomanPSMT" w:cs="TimesNewRomanPSMT"/>
          <w:bCs/>
          <w:i/>
        </w:rPr>
        <w:t xml:space="preserve"> výkazy výměr (slouží pouze pro potřeby stavebníka)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bCs/>
          <w:sz w:val="20"/>
        </w:rPr>
      </w:pPr>
      <w:r>
        <w:rPr>
          <w:rFonts w:ascii="TimesNewRomanPSMT" w:hAnsi="TimesNewRomanPSMT" w:cs="TimesNewRomanPSMT"/>
          <w:bCs/>
          <w:sz w:val="20"/>
        </w:rPr>
        <w:t>Další požadované údaje pro konkrétní stavební objekty jsou uvedeny v dalším textu části E.</w:t>
      </w:r>
    </w:p>
    <w:p w:rsidR="0033325D" w:rsidRDefault="0033325D" w:rsidP="0033325D">
      <w:pPr>
        <w:rPr>
          <w:rFonts w:ascii="TimesNewRomanPSMT" w:hAnsi="TimesNewRomanPSMT" w:cs="TimesNewRomanPSMT"/>
          <w:bCs/>
          <w:sz w:val="20"/>
        </w:rPr>
      </w:pPr>
      <w:r>
        <w:rPr>
          <w:rFonts w:ascii="TimesNewRomanPSMT" w:hAnsi="TimesNewRomanPSMT" w:cs="TimesNewRomanPSMT"/>
          <w:bCs/>
          <w:sz w:val="20"/>
        </w:rPr>
        <w:t>Stavební část dle specifických potřeb jednotlivých profesí.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E.1.2 NÁSTUPIŠTĚ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-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funkčního, technického a architektonického řešení, včetně řešení užívání staveb osobami s omezenou schopností pohybu a orientace,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údaje o technickém vybavení (umělé osvětlení, informační systém pro cestující, voda, ochrana před nebezpečným dotykovým napětím, drobná architektura),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návaznost na ostatní stavební objekty a provozní soubory (průkaz koordinace– zejména prostorové řešení v oblasti výstupu z podchodu, podchodné výšky vzhledem ke konstrukci zastřešení a umístění informačního systému, umístění nástupiště vzhledem k poloze návěstidel atd.),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požárně bezpečnostní řešení.</w:t>
      </w:r>
    </w:p>
    <w:p w:rsidR="0033325D" w:rsidRDefault="0033325D" w:rsidP="0033325D">
      <w:pPr>
        <w:spacing w:before="120"/>
        <w:rPr>
          <w:rFonts w:ascii="TimesNewRomanPS-BoldItalicMT" w:hAnsi="TimesNewRomanPS-BoldItalicMT" w:cs="TimesNewRomanPS-BoldItalicMT"/>
          <w:b/>
          <w:bCs/>
          <w:i/>
          <w:i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</w:rPr>
        <w:t>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v měřítku 1:500 (1:1000) se zakresleným technickým vybavením (včetně zastřešení, odvodnění, délky nástupišť a číselného označení umístění nástupiště, nadzemních a podzemních inženýrských. sítí, informačního systému apod.),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 (popř. pohled) v měřítku 1:100 (s vyznačením úprav pro osoby se sníženou schopností pohybu a orientace),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vzorové příčné řezy v měř.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příčné řezy v měřítku 1:100 (1:50) s koordinačním zákresem ostatních souvisejících SO a PS,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se seznamem souřadnic a nadmořských výšek hlavních bodů a nadmořských výšek hlavních výškových bodů a s uvedením mezních vytyčovacích odchylek nebo s odkazem na příslušnou ČSN,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detailů (např. výkresy tvarů a výztuže zídek, zábradlí, mobiliář),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orientační systém není-li v samostatném SO.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E.1.6 POTRUBNÍ VEDENÍ (VODA, PLYN, KANALIZACE)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-ItalicMT" w:hAnsi="TimesNewRomanPS-ItalicMT" w:cs="TimesNewRomanPS-ItalicMT"/>
          <w:i/>
          <w:iCs/>
          <w:sz w:val="20"/>
        </w:rPr>
        <w:t xml:space="preserve">– </w:t>
      </w:r>
      <w:r>
        <w:rPr>
          <w:rFonts w:ascii="TimesNewRomanPSMT" w:hAnsi="TimesNewRomanPSMT" w:cs="TimesNewRomanPSMT"/>
          <w:sz w:val="20"/>
        </w:rPr>
        <w:t>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upřesněné požadavky na dočasné zábory pozemků.</w:t>
      </w:r>
    </w:p>
    <w:p w:rsidR="0033325D" w:rsidRDefault="0033325D" w:rsidP="0033325D">
      <w:pPr>
        <w:spacing w:before="120"/>
        <w:rPr>
          <w:rFonts w:ascii="TimesNewRomanPS-BoldItalicMT" w:hAnsi="TimesNewRomanPS-BoldItalicMT" w:cs="TimesNewRomanPS-BoldItalicMT"/>
          <w:b/>
          <w:bCs/>
          <w:i/>
          <w:i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</w:rPr>
        <w:t>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v měřítku 1:1000 (1:500),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kanalizace bude hydrotechnická situace,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podélné profily - hlavních tras a důležitých přípojek kladečské schéma (u vodovodů),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uložení potrubí,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objekty – šachty,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se seznamem souřadnic a nadmořských výšek hlavních bodů a s uvedením mezních vytyčovacích odchylek nebo s odkazem na příslušnou ČSN,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detaily.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E.1.8 POZEMNÍ KOMUNIKACE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-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vyhodnocení průzkumů a podkladů a jejich užití v dokumentaci,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konstrukce zpevněných ploch, včetně případných výpočtů,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parametry použitých materiálů,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režim povrchových a podzemních vod, zásady odvodnění, ochrana komunikace,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návrh dopravního značení, řízení dopravy,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vybavení a zařízení komunikace,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vazba na případné technologické vybavení.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</w:t>
      </w:r>
      <w:r>
        <w:rPr>
          <w:rFonts w:ascii="TimesNewRomanPSMT" w:hAnsi="TimesNewRomanPSMT" w:cs="TimesNewRomanPSMT"/>
          <w:sz w:val="20"/>
        </w:rPr>
        <w:t>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1:1000 (1:500 nebo 1:200),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1:1000 nebo 1:500 pro vytyčení prostorové polohy SO, který obsahuje grafické a číselné vyznačení hlavních bodů SO a hlavních výškových bodů (sekundární systém) a jejich vazbu na polohové a výškové bodové pole (primární systém) a pro podrobné vytyčení rozměru a tvaru SO. Dále se uvedou mezní vytyčovací odchylky nebo odkaz na příslušnou ČSN. Vytyčovací výkres může být v provedení bez výpočtu vytyčovacích prvků (bez vazby na primární systém), ale musí vždy obsahovat seznam souřadnic a nadmořských výšek všech bodů prostorové polohy a bodů rozměru a tvaru SO,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podélný profil 1:1000/50,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vzorové příčné řezy 1:50 (s vyznačením konstrukčních vrstev, stavby a ochrany zemního tělesa, zpevněných příkopů, rigolů, bezpečnostních zařízení, oplocení, zdí, apod.),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příčné řezy 1:100 (pozn.: příčné řezy se zpracují obvykle po 50 m, ve složitých případech po 25 m a dále v rozhodujících místech podle požadavků zadavatele),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řešení křižovatek (v rozsahu podle složitosti křižovatky),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detailů souvisejících zařízení (propustky, zdi, schodiště).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soupis prací.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E.1.9 KABELOVODY, KOLEKTORY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-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kabelové komory, šachty,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kabelovodů popis montážních prací, manipulace s trubním materiálem.</w:t>
      </w:r>
    </w:p>
    <w:p w:rsidR="0033325D" w:rsidRDefault="0033325D" w:rsidP="0033325D">
      <w:pPr>
        <w:rPr>
          <w:rFonts w:ascii="TimesNewRomanPS-BoldItalicMT" w:hAnsi="TimesNewRomanPS-BoldItalicMT" w:cs="TimesNewRomanPS-BoldItalicMT"/>
          <w:b/>
          <w:bCs/>
          <w:i/>
          <w:i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0"/>
        </w:rPr>
        <w:t>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1:500,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se seznamem souřadnic a nadmořských výšek hlavních bodů a s uvedením mezních vytyčovacích odchylek nebo s odkazem na příslušnou ČSN,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podélný profil 1:500/50,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left="714" w:hanging="357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vzorové příčné řezy 1:50/20,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kabelových komor, šachet,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tvaru výztuže,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 obsazení kabelovou.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Poznámka: Velké a složité šachty kabelovodů a kolektorů se dokumentují s přihlédnutím k ustanovením pro inženýrské případně pozemní objekty.</w:t>
      </w:r>
    </w:p>
    <w:p w:rsidR="0033325D" w:rsidRDefault="0033325D" w:rsidP="0033325D">
      <w:pPr>
        <w:pStyle w:val="Odstavecseseznamem"/>
        <w:autoSpaceDE w:val="0"/>
        <w:autoSpaceDN w:val="0"/>
        <w:adjustRightInd w:val="0"/>
        <w:spacing w:before="240"/>
        <w:ind w:left="567" w:hanging="567"/>
        <w:jc w:val="both"/>
        <w:rPr>
          <w:rFonts w:ascii="TimesNewRomanPS-BoldMT" w:hAnsi="TimesNewRomanPS-BoldMT" w:cs="TimesNewRomanPS-BoldMT"/>
          <w:b/>
          <w:bCs/>
          <w:szCs w:val="28"/>
        </w:rPr>
      </w:pPr>
      <w:r>
        <w:rPr>
          <w:rFonts w:ascii="TimesNewRomanPS-BoldMT" w:hAnsi="TimesNewRomanPS-BoldMT" w:cs="TimesNewRomanPS-BoldMT"/>
          <w:b/>
          <w:bCs/>
          <w:szCs w:val="28"/>
        </w:rPr>
        <w:t>E.2 Pozemní stavební objekty a technické vybavení pozemních stavebních objektů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 POZEMNÍ OBJEKTY BUDOV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-ItalicMT" w:hAnsi="TimesNewRomanPS-ItalicMT" w:cs="TimesNewRomanPS-ItalicMT"/>
          <w:i/>
          <w:iCs/>
          <w:sz w:val="20"/>
        </w:rPr>
        <w:t xml:space="preserve">- </w:t>
      </w:r>
      <w:r>
        <w:rPr>
          <w:rFonts w:ascii="TimesNewRomanPSMT" w:hAnsi="TimesNewRomanPSMT" w:cs="TimesNewRomanPSMT"/>
          <w:sz w:val="20"/>
        </w:rPr>
        <w:t>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stavebně architektonické řešení,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celkové provozní řešení,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konstrukční a stavebně technické řešení a technické vlastnosti stavby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bezpečnost při užívání stavby, ochrana zdraví a pracovní prostředí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stavební fyzika - tepelná technika, osvětlení, oslunění, akustika / hluk, vibrace - popis řešení, zásady hospodaření energiemi, ochrana stavby před negativními účinky vnějšího prostředí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požární ochranu konstrukcí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nosného systému stavby s udáním rozpětí hlavních dimenzí a technologií stavby,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údaje o zatíženích,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použité materiály, konstrukce s upozorněním na zvláště exponované části,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případně detailní řešení jejich protipožární ochrany,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použité normy, literatura, podklady,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údaje o materiálech a technologiích,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údaje o napojení na inženýrské sítě a řešení odvodnění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definice systému centrálního klíče.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 změn staveb (nástavby, přístavby, opravy, rekonstrukce) se ve zvláštní části technické zprávy doloží: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a vyhodnocení nosné části stávající konstrukce,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technologických postupů při odstraňování nebo oslabování stávajících konstrukcí stávajících staveb, které mohou mít vliv na statiku stavby (bourání nebo podchycování staveb, zpevňování konstrukcí).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1:500 (1:200),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půdorysy 1:50 - výkopy včetně řezů, zajištění stavebních jam, základy, podzemní a nadzemní podlaží, konstrukce zastřešení, pohled na střechu s rozměrovými kótami všech konstrukcí, otvorů v konstrukcích, s popisem účelu využití místností s plošnou výměrou včetně grafického rozlišení charakteristického materiálového řešení konstrukcí, s legendou místností a uvedením povrchových úprav stěn, podlah, podhledů apod., s popisem nebo označením výrobků a s odkazy na dokumentaci podrobností apod.,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řezy - v potřebném rozsahu a měřítku (1:50, případně 1:100) se základním konstrukčním řešením s rozlišením materiálových charakteristik,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dílčí řezy vybraných částí objektu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pohledy 1:100 (1:50) (S, J, V, Z, příp. další na všechny plochy fasádního pláště objektu), včetně uvedení výškových a rozměrových kót, s vyznačením materiálových charakteristik, barevnosti, s legendou a případnými odkazy na dokumentaci podrobností apod.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1:500 nebo 1:200 pro vytyčení prostorové polohy SO, který obsahuje grafické a číselné vyznačení charakteristických bodů SO a hlavních výškových bodů (sekundární systém) a jejich vazbu na polohové a výškové bodové pole (primární systém) a pro podrobné vytyčení rozměru a tvaru SO. Dále se uvedou mezní vytyčovací odchylky nebo odkaz na příslušnou ČSN. Vytyčovací výkres může být v provedení bez výpočtu vytyčovacích prvků (bez vazby na primární systém), ale musí vždy obsahovat seznam souřadnic a nadmořských výšek všech bodů prostorové polohy a bodů rozměru a tvaru SO,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přehledné dispoziční půdorysné výkresy nosné konstrukce v měřítku 1:50, výjimečně 1:100, včetně nezbytných řezů a pohledů; z výkresů musí být jasně identifikovatelný použitý profil (výkres tvaru, kladečské výkresy prefabrikátu),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detaily rozhodujících styků, kotvení, detaily spodní stavby, detaily střídání konstrukcí obálky budovy, zastřešení, detaily z pohledu stavební akustiky a vibrací apod. v měřítku 1:25, 1:20, 1:10 (1:5)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zatěžovacích údajů na základy,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závazných rozhodujících detailů v měř. min. 1:20,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kotevní plány a zatížení na základy,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detailní výkresy výztuže a výpis výztuže,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podhledů, podlah, stěn, zastřešení,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skladby a vrstev protihlukových, tepelných izolací a hydroizolací,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řešení atypických zámečnických, truhlářských a klempířských výrobků a kompletního technického popisu,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tabulky oken a dveří včetně grafického znázornění a kompletního technického popisu,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dílčí stavební konstrukce - kabelové rozvody, mezistropy apod.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dokumentace strojů a zařízení, které jsou součástí stavební části, se zpracovávají obdobně jako dokumentace strojů a zařízení technologické části.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Výpočty:</w:t>
      </w:r>
    </w:p>
    <w:p w:rsidR="0033325D" w:rsidRDefault="0033325D" w:rsidP="0033325D">
      <w:pPr>
        <w:spacing w:before="6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Podrobný statický výpočet (pokud se nevypracovává konstrukčně statické řešení) - zpracovává se podle společných zásad a obsahuje: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průvodní zprávu ke statickému výpočtu, stručně rekapitulující základní koncept řešení konstrukce a rozdíly oproti předběžnému výpočtu ve stádiu stavebního povolení, 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statické schéma konstrukce,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rekapitulace všech zatížení, zatěžovacích stavů včetně součinitelů zatížení a součinitelů kombinace,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výpočetní modely, výpočetní schéma, údaje o použitých výpočetních programech,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a posouzení všech hlavních nosných prvků,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výpočet účinků na základy,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a posouzení všech hlavních detailů, rozhodujícím způsobem ovlivňující bezpečnost konstrukce,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a posouzení montážních styků,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ve statickém výpočtu jsou vhodně uplatněny výpisy vstupních a výstupních sestav, počítačových výpočtů, dále jsou jasně deklarovány vstupní soubory. Dodavatel má povinnost archivovat elektronické formy vstupních souborů a na požádání je v kopii předat zadavateli resp. stavebnímu úřadu,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upřesnění výpočtu protihlukových a tepelně izolačních konstrukcí,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výpočty protihlukových a tepelně izolačních konstrukcí (dokladovány jsou výpočty rozhodujících konstrukcí) a statický výpočet, pokud se nevypracovává konstrukčně statické řešení.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E.2.2 ZASTŘEŠENÍ NÁSTUPIŠŤ, PŘÍSTŘEŠKY NA NÁSTUPIŠTÍCH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-ItalicMT" w:hAnsi="TimesNewRomanPS-ItalicMT" w:cs="TimesNewRomanPS-ItalicMT"/>
          <w:i/>
          <w:iCs/>
          <w:sz w:val="20"/>
        </w:rPr>
        <w:t xml:space="preserve">- </w:t>
      </w:r>
      <w:r>
        <w:rPr>
          <w:rFonts w:ascii="TimesNewRomanPSMT" w:hAnsi="TimesNewRomanPSMT" w:cs="TimesNewRomanPSMT"/>
          <w:sz w:val="20"/>
        </w:rPr>
        <w:t>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Výpis výrobků.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1:500,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 základů 1:100 (1:50),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 zastřešení 1:100 (1:50),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příčné řezy 1:50 (1:25),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vytyčovací výkres 1:1 000 nebo 1:500 se seznamem souřadnic a nadmořských výšek hlavních bodů a s uvedením mezních vytyčovacích odchylek nebo s odkazem na příslušnou ČSN.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Výpočty: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Statický výpočet, hydrotechnický – pro návrh odvodňovacích prvků.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E.2.4 ORIENTAČNÍ SYSTÉM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1:200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sestav - výčet informativně orientačních prvků.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E.2.5 DEMOLICE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ca),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významných objektů bude pořízena fotodokumentace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1:1 000 (1:500),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1:100 (1:50) - půdorysy, příčné řezy se základním okótováním.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E.2.6 ZDRAVOTNĚ TECH. INSTALACE, VNITŘNÍ PLYNOVOD, POŽÁRNÍ VODOVOD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  <w:u w:val="single"/>
        </w:rPr>
      </w:pPr>
      <w:r>
        <w:rPr>
          <w:rFonts w:ascii="TimesNewRomanPS-BoldMT" w:hAnsi="TimesNewRomanPS-BoldMT" w:cs="TimesNewRomanPS-BoldMT"/>
          <w:b/>
          <w:bCs/>
          <w:sz w:val="20"/>
          <w:u w:val="single"/>
        </w:rPr>
        <w:t>VODOVOD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bilanci potřeby vody – studené, teplé užitkové a požární, popis měření odběru vody a její požadované úpravy (chemické či biologické apod.),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tlakových poměrů vodovodu, popis čerpacích a posilovacích zařízení,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technického řešení vodovodu, popis použitých materiálů s určenými parametry a technologickými postupy, popis a podmínky připojení na veřejné či místní vodovodní sítě, u požárního vodovodu (suchovodu) systém rozvodu, strojního vybavení a navrhovaný systém zařízení na podkladě zadání a spolupráce specialisty PO,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SymbolMT" w:eastAsia="SymbolMT" w:hAnsi="TimesNewRomanPS-BoldMT" w:cs="SymbolMT"/>
        </w:rPr>
      </w:pPr>
      <w:r>
        <w:rPr>
          <w:rFonts w:ascii="TimesNewRomanPSMT" w:hAnsi="TimesNewRomanPSMT" w:cs="TimesNewRomanPSMT"/>
        </w:rPr>
        <w:t>seznam strojů a zařízení a jejich technická specifikace,</w:t>
      </w:r>
      <w:r>
        <w:rPr>
          <w:rFonts w:ascii="SymbolMT" w:eastAsia="SymbolMT" w:hAnsi="TimesNewRomanPS-BoldMT" w:cs="SymbolMT" w:hint="eastAsia"/>
        </w:rPr>
        <w:t xml:space="preserve"> 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případnou etapizaci postupu prací a podmínky pro realizaci díla.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systému a zařízení vodovodu (půdorysy jednotlivých podlaží podzemních i nadzemních) v měřítku 1:100 nebo 1:50, dle rozsahu stavby,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základní schémata bez měřítka,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rozvinuté řezy či axonometrická schémata hlavních horizontálních rozvodů zpravidla podzemní podlaží v měř. 1:100, 1:50, lze nahradit výškově okótovanými půdorysnými trasami vodovodu,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vodovodu v měř. 1:100, 1:50 s napojením na rozvody,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 fakturačního měření odběru vody v měř.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trasy rozvodů včetně napojení na místní sítě,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dispoziční umístění jednotlivých zařízení v jednotlivých podlažích s popisem a dimenzemi,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horizontální potrubí s DN potrubí s vyznačením dimenzí a legendou pro druh média,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s vyznačením dimenzí a napojení zařizovacích předmětů.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  <w:u w:val="single"/>
        </w:rPr>
      </w:pPr>
      <w:r>
        <w:rPr>
          <w:rFonts w:ascii="TimesNewRomanPS-BoldMT" w:hAnsi="TimesNewRomanPS-BoldMT" w:cs="TimesNewRomanPS-BoldMT"/>
          <w:b/>
          <w:bCs/>
          <w:sz w:val="20"/>
          <w:u w:val="single"/>
        </w:rPr>
        <w:t>KANALIZACE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bilanci potřeby vody SV, TUV a PV, popis čerpacích zařízení, popis technického řešení kanalizace, popis použitých materiálů s určenými parametry a technologickými postupy,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výpočtové množství vypouštěných odpadních vod (splaškových, dešťových a průmyslových) a jejich úprava a případné zdržení (retence) před vypouštěním,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a podmínky připojení na veřejné či místní vnější sítě, dále popis strojního vybavení a navrhovaného systému zařízení a vybavení,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SymbolMT" w:eastAsia="SymbolMT" w:hAnsi="TimesNewRomanPS-BoldMT" w:cs="SymbolMT"/>
        </w:rPr>
      </w:pPr>
      <w:r>
        <w:rPr>
          <w:rFonts w:ascii="TimesNewRomanPSMT" w:hAnsi="TimesNewRomanPSMT" w:cs="TimesNewRomanPSMT"/>
        </w:rPr>
        <w:t>seznam strojů a zařízení a jejich technická specifikace,</w:t>
      </w:r>
      <w:r>
        <w:rPr>
          <w:rFonts w:ascii="SymbolMT" w:eastAsia="SymbolMT" w:hAnsi="TimesNewRomanPS-BoldMT" w:cs="SymbolMT" w:hint="eastAsia"/>
        </w:rPr>
        <w:t xml:space="preserve"> 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případné požadavky na etapizaci postupu prací a podmínky pro realizaci díla.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systému a zařízení kanalizace (půdorysy jednotlivých podlaží, podzemních i nadzemních, střechy, případně základů) v měřítku 1:100, nebo 1:50, dle rozsahu stavby,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schémata bez měřítek,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podélné řezy horizontálních rozvodů – zpravidla podzemní podlaží – podélné řezy kanalizace v měř. 1:100 nebo 1:50, řezy nahrazují výškově okótované půdorysy kanalizace,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kanalizace v měř. 1:100,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trasy ležatých rozvodů včetně míst napojení kanalizace na vnější sítě, včetně revizních šachet, zpětných klapek, apod. (pozn. v absolutních nebo relativních výškách),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schémata kanalizace, podélné řezy kanalizace, výškové uložení v m n. m., nebo v relativních výškách ve vztahu k +0,000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dispoziční umístění jednotlivých zařízení v jednotlivých podlažích s popisem a dimenzemi,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horizontální potrubí, DN potrubí s vyznačením sklonů, dimenzí a odvětrání,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s vyznačením dimenzí a napojením zařizovacích předmětů.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  <w:u w:val="single"/>
        </w:rPr>
      </w:pPr>
      <w:r>
        <w:rPr>
          <w:rFonts w:ascii="TimesNewRomanPS-BoldMT" w:hAnsi="TimesNewRomanPS-BoldMT" w:cs="TimesNewRomanPS-BoldMT"/>
          <w:b/>
          <w:bCs/>
          <w:sz w:val="20"/>
          <w:u w:val="single"/>
        </w:rPr>
        <w:t>VNITŘNÍ PLYNOVOD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druh a tlak plynového média, provozní tlak média, bilanci spotřeby plynu,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fakturačního a podružného měření odběru plynu a jeho regulace, včetně uvedení parametrů měřícího a regulačního zařízení,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technického řešení (popis schéma) a trasy plynovodu v objektu,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strojního zařízení, spotřebičů, doregulace plynu a spotřebičů, plynového zařízení kotelny, umístění hlavních uzávěrů plynu a popis trasy,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podmínky připojení na plynovodní síť v souladu se závazným stanoviskem plynárenského závodu, (doporučuje se doložit výpočet tlakových ztrát a dimenzování plynovodu),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plynových spotřebičů v rozdělení dle parametrů příkonu (do 50 kW a nad 50 KW) a jejich propojení na instalaci plynovodu, předběžný soupis základního zařízení.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b/>
          <w:bCs/>
          <w:sz w:val="20"/>
        </w:rPr>
      </w:pPr>
      <w:r>
        <w:rPr>
          <w:rFonts w:ascii="TimesNewRomanPSMT" w:hAnsi="TimesNewRomanPSMT" w:cs="TimesNewRomanPS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půdorysů tras plynovodu jednotlivých podlaží v měř. 1:100,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schémata plynovodu bez měřítka,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plynovodu v měřítku 1:100,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 fakturačního měření a regulace odběru plynu v měř. 1:50. strojní vybavení plynové kotelny v měř. 1:50,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rozvinuté řezy případně axonometrické schéma plynovodu v měř. 1:50, 1:100,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trasy rozvodů včetně napojení na vnější sítě,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základní schéma plynovodu, rozvinuté řezy plynovodu,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dispoziční řešení jednotlivých zařízení v jednotlivých podlažích s popisem a dimenzemi,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horizontálním potrubí s vyznačením DN a tlaku média,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stoupací potrubí s vyznačením DN a napojení spotřebičů.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sz w:val="20"/>
        </w:rPr>
      </w:pPr>
      <w:r>
        <w:rPr>
          <w:rFonts w:ascii="TimesNewRomanPSMT" w:hAnsi="TimesNewRomanPSMT" w:cs="TimesNewRomanPS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E.2.7 VYTÁPĚNÍ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typ zdroje tepla (plynová kotelna, výměníková stanice, apod.),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klimatické podmínky místa stavby a provozní podmínky (uvažovaná nejnižší zimní venkovní výpočtová teplota, průměrná denní venkovní teplota v otopném období, počet otopných dnů v roce, provoz – počet hodin za den, počet pracovních dní v týdnu a v roce, krajinná oblast se zřetelem na intenzitu větru, poloha budovy v krajině, průměrná vnitřní teplota vzduchu – plný provoz/útlum, celkový objem vytápěného prostoru, typ provozu – plně automatický, ruční, apod.),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navrhovaných a předpokládaných hodnot tepelně-technických vlastností stavebních konstrukcí,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tepelných ztrát po místnostech s uvedením ztrát prostupem, infiltrací, větráním, celkových ztrát,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jednotlivých vzduchotechnických zařízení napojených na rozvody tepla s uvedením jmenovité potřeby (tepelného příkonu předehřívače, ohřívače),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 potřeby tepla pro ohřev TUV na základě bilance předané specialistou zdravotní techniky,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potřebného tepelného výkonu výměníku nebo kotelny,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a přehled roční spotřeby tepla pro vytápění, vzduchotechniku a ohřev TUV, celková roční spotřeba tepla v MWh/rok, příp. GJ/rok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 přípojné hodnoty zdroje tepla, vycházející z hodnot potřeby tepla pro vytápění, vzduchotechniku a ohřev TUV,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přípojky primárního média, nominální parametry, sjednané množství odběru (tepelný výkon a roční odběr),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výměníkové / předávací stanice tepla, umístění, parametry primární a sekundární strany, zabezpečovací a regulační systém,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umístění kotelny nebo výměníkové stanice, požadavky na dispoziční a stavební řešení,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 větrání kotelny, řešení přívodu a odvodu vzduchu, stavební a technické řešení,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 průřezu kouřovodů a komínů,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řešení požární bezpečnosti kotelny,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uvažovaného systému, nominální teplotní spád, tlakové pásmo,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rozdělení otopného systému na jednotlivé okruhy, jejich tepelný výkon, průtok, tlaková ztráta, způsob regulace (kvantitativní / kvalitativní), parametry oběhových čerpadel, regulačních ventilů,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páteřních a podružných rozvodů, vedení, umístění,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vyregulování a vyvážení soustavy,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zabezpečení a doplňování otopné soustavy, úprava doplňovací vody,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tlakové hodnoty při vychladlé soustavě (plnící tlak, provozní tlak, maximální tlak, otevírací tlak pojistného ventilu),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výpočet pojistného ventilu,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vytápění jednotlivých typů prostorů a provozů,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otopných ploch, umístění, způsob připojení na otopnou soustavu, regulace teploty v prostoru,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připojení vzduchotechnických zařízení na otopnou soustavu, způsob regulace teploty, nominální tepelné výkony, průtoky, tlakové ztráty výměníků, parametry oběhových čerpadel, regulačních ventilů,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měření spotřeby tepla, instalace měřičů tepla, umístění, typ, vyhodnocení,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ohřevu TUV, připojení na otopnou soustavu, tepelný výkon, způsob regulace ohřevu TUV,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typy navržených zařízení,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potrubí, nátěry, izolace, zavěšení, uložení, kompenzace,</w:t>
      </w:r>
    </w:p>
    <w:p w:rsidR="0033325D" w:rsidRDefault="0033325D" w:rsidP="0033325D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popis materiálů potrubí jednotlivých částí soustavy, definice nátěrů, tepelných izolací, popis způsobu zavěšení potrubí, uložení a kompenzace.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Půdorysy 1:50 (1:100) jednotlivých podlaží se schematickými zakreslenými rozvody (rozmístění topných těles se zakresluje do půdorysu stavebních výkresů).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 objektů technického vybavení (kotelen, předávacích stanic, výměníkových stanic a strojoven UT) budou výkresy ještě zahrnovat: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detailní výkresy půdorys 1:25 (1:50) s řešením a prostorovým rozmístěním strojního zařízení ve vazbě k uvažovaným stavebním konstrukcím,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potřebné řezy a dispoziční schéma vyznačující vzájemné propojení všech strojů a zařízení včetně měřících a regulačních obvodů,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detaily rozvaděčů a sběračů,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 zapojení zdroje tepla,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svislé schéma otopné soustavy.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E.2.8 VZDUCHOTECHNICKÁ ZAŘÍZENÍ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klimatické podmínky místa stavby a provozní podmínky (uvažovaná nejvyšší a nejnižší venkovní výpočtová teplota, počet provozních hodin),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základní koncepce vzduchotechnického zařízení,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výčet typů prostorů větraných přirozeně nebo nuceně, zajištění předepsané hygienické výměny vzduchu v jednotlivých prostorech,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minimální dávky čerstvého vzduchu, podíl vzduchu cirkulačního,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umístění nasávání venkovního vzduchu pro zařízení, odvod vzduchu odpadního,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počet a umístění centrál úpravy vzduchu,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zadání tepelných zátěží klimatizovaných prostorů, požadované parametry letní / zimní v klimatizovaných prostorech,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přívod čerstvého vzduchu a odvětrání místností,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vzduchové výkony v jednotlivých typech místností,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hlukové parametry ve vnitřním a venkovním prostředí včetně odkazu na hygienické předpisy,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škodlivinách se stanovením emisí a jejich koncentrace,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větrání a klimatizace jednotlivých prostorů a provozů, seznam zařízení s uvedením rozsahu úpravy vzduchu,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jednotlivých VZT zařízení,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umístění zařízení – centrály úpravy vzduchu, množství vzduchu, vedení kanálů do obsluhovaných prostorů, distribuce vzduchu v prostoru,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zařízení na teplo, chlad, el.proud včetně popisu napojení na zdroje,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stručný popis provozu a regulace zařízení vzduchotechniky a klimatizace,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protihluková a protipožární opatření na vzduchotechnických zařízeních,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zavěšení potrubí, uložení.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Doporučené přílohy technické zprávy: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tabulka místností se základními teplotními, hlukovými, vzduchovými parametry,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tabulka zařízení se základními vzduchovými a energetickými parametry jednotlivých zařízení VZT v objektu.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půdorysy všech jednotlivých podlaží v měř. 1:50 (1:100) se zakreslením umístění strojů, konstrukcí, panelů, rozvaděčů, kanálů a potrubí s uvedením profilů a s kótami hlavních rozměrů ve vztahu ke stavebním konstrukcím a ostatním zařízením,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 případě složitějších a rozsáhlejších strojoven vzduchotechniky či v místě křížení j jinými rozvody TZB detailní výkresy půdorysu v měř. 1:25, řezy prostorem v měř. 1:50, 1:25,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prostorových nároků na svislé trasy potrubí,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schémata jednotlivých VZT zařízení,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vyznačení izolací a protipožárních opatření.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E.2.9 INFORMAČNÍ SYSTÉM VEŘEJNÉ ČÁSTI VÝPRAVNÍCH BUDOV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celkové řešení informačními systému,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zásady funkčního, technického, architektonického a výtvarného řešení,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rozdělení informačních prvků a systém značení, umístění sestav a jejich výkaz,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povrchové úpravy prvků a jejich ukotvení,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světelné zdroje, bilance spotřeby elektrické energie,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návaznost na ostatní stavební objekty a provozní soubory (průkaz koordinace),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návrh interiérů v prostoru veřejné části výpravní budovy a informační systém mimo budovu,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 památkových objektů uvést zdůvodnění návrhu z hlediska umělecko historického a požadavku orgánů památkové péče,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požárně bezpečnostní řešení.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v měřítku 1:100,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 řez, pohledy se znázorněním rozmístění informačních prvků a zařízení s okótováním jejich základních rozměrů a vzdáleností od svislých konstrukcí v měřítku 1:50, 1:25,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výkresy jednotlivých zařízení.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E.2.10 UMĚLÉ OSVĚTLENÍ A VNITŘNÍ SILNOPROUDÉ ROZVODY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základní technické údaje elektroinstalace, stanovení proudových soustav a napětí,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energetická bilance rozdělená na jednotlivé druhy spotřebičů a druhy sítí včetně instalovaného a max. soudobého příkonu,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měření spotřeby elektrické energie včetně případného technického řešení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kompenzace,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předpokládanou roční spotřebu el. energie na základě provozních hodin,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způsob připojení na veřejný rozvod elektrické energie (pokud se vyskytuje), způsob řešení hlavních napájecích rozvodů od připojovacího bodu až k jednotlivým rozvaděčům včetně náhradních zdrojů (technický popis blokového schématu hlavních napájecích rozvodů),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definice řešení náhradních zdrojů, 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návaznost na ostatní stavební objekty a provozní soubory (průkaz koordinace),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stupeň důležitosti dodávky elektrické energie,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uzemnění a hromosvodu,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technického řešení osvětlení včetně jeho ovládání, (druh osvětlení s údaji o požadované intenzitě, nouzové osvětlení),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technického řešení zásuvkových okruhů,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technického řešení napojení TZB (vzduchotechniky, chlazení, zdravotní techniky, požárních systémů) na elektrickou energii včetně případného způsobu ovládání měřením a regulací,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ostatního technického řešení napojení technologických celků (systémy slaboproudé, výtahy, eskalátory apod.),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ochrana před nebezpečným dotykovým napětím,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protokol o posouzení vnějších vlivů,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požárně bezpečnostní řešení a definice napojení zařízení PO včetně požadovaných parametrů,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zkratové poměry s výsledky výpočtů, ochrany proti zkratu,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odůvodnění případných výjimek z předpisů a norem a odchylek od předchozího stupně dokumentace,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stanovuje také návrh na komplexní zkoušky elektroinstalace. V případě potřeby stanovuje technické řešení trafostanice dle připojovacích podmínek provozovatele návaznosti na připojení vysokého napětí. Popisuje případné změny nebo odlišnosti v technickém řešení vůči předcházejícímu stupni projektové dokumentace. V případě revize popisuje stručně okruh změn, kterých se daná revize týká.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přehledové schéma propojení rozvaděčů,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jednopólové schéma rozvaděčů se základními údaji,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půdorysy všech jednotlivých podlaží v měř. 1 : 50 (1 : 100) se zakreslenými hlavními trasami napájecích rozvodů a umístěním hlavních a podružných rozvaděčů,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doporučuje se rozdělit výkresovou dokumentaci půdorysů na část světelných a napájecích rozvodů včetně zásuvkových okruhů,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celkové blokové schéma hlavních napájecích rozvodů zpracované přehledně a doplněné o základní technické údaje o instalovaném a soudobém příkonu pro jednotlivé rozvaděče, dimenze vedení a zkratové údaje na jednotlivých rozvaděčích,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rozmístění a druhy svítidel a ostatních připojovaných elektrických zařízení s uvedením dimenze kabelu a okótovaného umístění.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E.2.11 HROMOSVODY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zdůvodnění typů hromosvodů a rozmístění jímací soustavy,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napojení na uzemňovací soustavu, propojení zemničů a popis zvolených materiálů.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 napojení jímačů na uzemňovací soustavu,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propojení zemničů, dispoziční výkresy jímačů na střechách a návrh detailů,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provedení svodů a propojení kovových konstrukcí objektu.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E.2.12 VNITŘNÍ SLABOPROUDÉ ROZVODY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Zahrnují telefonní rozvody, přípravu pro datovou, počítačovou síť (PC), domácí telefon (DT), rozvod televizního signálu (STA), elektronický zabezpečovací systém (EZS), kontrolu vstupu (ACCES), rozhlas, orientační a informační systém a kamerový systém.</w:t>
      </w:r>
    </w:p>
    <w:p w:rsidR="0033325D" w:rsidRDefault="0033325D" w:rsidP="0033325D">
      <w:pPr>
        <w:spacing w:before="60"/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způsobu technického řešení ve smyslu požadavků na způsob a charakter rozvodů,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způsobu uložení kabelového vedení vůči stavebním konstrukcím,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typy navržených zařízení,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hlavních okruhů ČSN norem, podle kterých je nutné provádět montáž,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návrhu na komplexní zkoušky.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celková bloková schémata rozvodů obsahující počet a logickou polohu jednotlivých koncových prvků,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uvádí základní technické údaje, napájecí napěťovou soustavu, způsob ochrany,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určuje způsob technického řešení ve smyslu požadavků na způsob a charakter rozvodů,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půdorysy všech podlaží v měř. 1:50 (1:100) s rozmístěním zařízení a se zakreslením hlavních kabelových tras a způsob jejich uložení.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E.2.13 VNITŘNÍ VYBAVENÍ BUDOV (INTERIÉR)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technický popis konstrukčního řešení a strukturu interiérových částí celého projektu,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posloupnost prací a případné spolupráce jednotlivých subdodavatelů,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podmínky pro montáž a doplňuje technologické postupy,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záruky,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barevné řešení a struktury povrchů,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stavebních návazností / stavební připravenosti pro dodávku interiéru.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dispoziční řešení s označením položek pro jednotlivá podlaží v měřítku 1:20,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dispoziční řešení jednotlivých místností v měř. 1:20,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pohledy na stěny v měř. 1:20,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sestavy jednotlivých položek s označením detailů,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detaily sestav a jejich vazby na stavbu a ostatní profese, detaily kotvení,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vazby elektrospotřebičů a světelných zdrojů do interiérových položek, včetně schéma na přívody elektroinstalací – jejich tras a ovládání, případné osazení jejich vyústění,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 vyústění ostatních speciálních profesí (zdravotní technika, vzduchotechnika, silnoproud, počítačové sítě apod.).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E.2.14 VNĚJŠÍ VYBAVENÍ BUDOV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lastRenderedPageBreak/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celkového řešení, technický popis úprav, výčet prvků drobné architektury,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seznam použitých vysazovaných rostlin.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venkovní, zahradní a sadové úpravy včetně osazovacího plánu,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chodníky a zpevněné plochy,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opěrné stěny,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oplocení,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drobná architektura.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Výkazy výměr</w:t>
      </w:r>
    </w:p>
    <w:p w:rsidR="0033325D" w:rsidRDefault="0033325D" w:rsidP="0033325D">
      <w:pPr>
        <w:spacing w:before="120" w:after="6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E.2.15 POŽÁRNĚ BEZPEČNOSTNÍ ŘEŠENÍ BUDOV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 xml:space="preserve">Technická zpráva </w:t>
      </w:r>
      <w:r>
        <w:rPr>
          <w:rFonts w:ascii="TimesNewRomanPSMT" w:hAnsi="TimesNewRomanPSMT" w:cs="TimesNewRomanPSMT"/>
          <w:sz w:val="20"/>
        </w:rPr>
        <w:t>– bude zpracována dle části E., bod a), navíc bude obsahovat: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celkového řešení, technický popis úprav,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posouzení konstrukcí, únikových cest, shromažďovacích prostor,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definice provozních stavů opatření PO,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předepsání opatření pro technická zařízení budov a elektroinstalace,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doporučení pro evakuační plány a požární poplachové směrnice,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seznam použitých technických norem a legislativních předpisů.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Výkresy: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zakreslení požárních úseků do dispozice,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zakreslení a popsání parametrů pro požární uzávěry a únikové cesty,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schémata prostor s různými opatřeními PO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Zásady organizace výstavby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Organizace výstavby se vypracuje pro celou stavbu. Navrhuje optimální organizaci stavby z hlediska požadavků zadavatele a jeho omezujících podmínek. Musí být minimalizován negativní vliv provádění stavby na životní prostředí a na pohyb cestujícího a na zachování služeb cestujícím. Organizace výstavby řeší vazby jednotlivých provozních souborů a stavebních objektů na ostatní části stavby, přístupy na staveniště a nabízí v úvahu přicházející plochy pro zařízení staveniště. U rozsáhlých, nebo technicky náročných částí stavby je možno, na základě požadavku zadavatele, vypracovat samostatné postupy výstavby objektů.</w:t>
      </w:r>
    </w:p>
    <w:p w:rsidR="0033325D" w:rsidRDefault="0033325D" w:rsidP="0033325D">
      <w:pPr>
        <w:spacing w:before="120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Obsah dokumentace: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  <w:b/>
        </w:rPr>
        <w:t>Technická</w:t>
      </w:r>
      <w:r>
        <w:rPr>
          <w:rFonts w:ascii="TimesNewRomanPS-BoldMT" w:hAnsi="TimesNewRomanPS-BoldMT" w:cs="TimesNewRomanPS-BoldMT"/>
          <w:b/>
          <w:bCs/>
        </w:rPr>
        <w:t xml:space="preserve"> zpráva: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charakteristika staveniště, jeho uspořádání, včetně ploch zařízení staveniště, včetně zajištění základních podmínek pro samostatný a bezpečný pohyb osob s omezenou schopností pohybu a orientace na komunikacích a plochách souvisejících se staveništěm,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využití stávajících nebo budovaných objektů,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možnosti napojení na kanalizaci a zdroje vody, elektrické energie, plyn, telekomunikace, dopravní sítě,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dopravní trasy a návrhy dopravních opatření musí být projednány s příslušnými orgány (Policie České republiky, atd.),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zabezpečení ochranných pásem, ochrana objektů a zeleně,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údaje o zvláštních opatřeních a o provádění vyžadujícím bezpečnostní opatření,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vliv provádění stavby na životní prostředí,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postupu stavby, předpokládané termíny zahájení a ukončení stavby,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postupné uvádění do provozu,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požadavky na výluky veřejné dopravy,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 stavby umístěné v zátopovém území se upřesní povodňový a havarijní plán, pokud dojde ke změnám oproti projednanému povodňovému plánu z PD, který je součástí souhrnné části (B.4),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popis staveb zařízení staveniště vyžadujících ohlášení,</w:t>
      </w:r>
    </w:p>
    <w:p w:rsidR="0033325D" w:rsidRDefault="0033325D" w:rsidP="0033325D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ind w:left="851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stanovení podmínek pro provádění stavby z hlediska bezpečnosti a ochrany zdraví při práci.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120" w:after="6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  <w:b/>
        </w:rPr>
        <w:t>Výkresy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 xml:space="preserve">Údaje potřebné pro organizaci výstavby jsou zakresleny v situaci, která vychází z koordinační situace stavby (část C.2). Zejména jsou uvedeny následující údaje, obvod staveniště, včetně ploch zařízení staveniště, vjezdy na staveniště, zdroje vody a energií. Dále bude doložen projekt ozelenění </w:t>
      </w:r>
      <w:r>
        <w:rPr>
          <w:rFonts w:ascii="TimesNewRomanPSMT" w:hAnsi="TimesNewRomanPSMT" w:cs="TimesNewRomanPSMT"/>
          <w:sz w:val="20"/>
        </w:rPr>
        <w:lastRenderedPageBreak/>
        <w:t>(vegetačních úprav) včetně výkresu, který bude sloužit pro provedení uvedených prací na staveništi v závěru stavby.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120" w:after="6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  <w:b/>
        </w:rPr>
        <w:t>Časový</w:t>
      </w:r>
      <w:r>
        <w:rPr>
          <w:rFonts w:ascii="TimesNewRomanPS-BoldMT" w:hAnsi="TimesNewRomanPS-BoldMT" w:cs="TimesNewRomanPS-BoldMT"/>
          <w:b/>
          <w:bCs/>
        </w:rPr>
        <w:t xml:space="preserve"> postup prací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Bude navržen podle rozsahu a složitosti stavby ve dnech nebo týdnech. Časový plán musí postihnout všechny návaznosti technologických postupů, prokázat reálnost navrhovaných výlukových časů a celkové lhůty výstavby.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120" w:after="6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  <w:b/>
        </w:rPr>
        <w:t>Schéma</w:t>
      </w:r>
      <w:r>
        <w:rPr>
          <w:rFonts w:ascii="TimesNewRomanPS-BoldMT" w:hAnsi="TimesNewRomanPS-BoldMT" w:cs="TimesNewRomanPS-BoldMT"/>
          <w:b/>
          <w:bCs/>
        </w:rPr>
        <w:t xml:space="preserve"> stavebních postupů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Zpracovává se zejména při stavbě nebo rekonstrukci kolejiště stanic a u staveb, kde budou vyžadovány výluky kolejí nebo vypnutí zabezpečovacího zařízení.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120" w:after="60"/>
        <w:ind w:left="714" w:hanging="357"/>
        <w:contextualSpacing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  <w:b/>
        </w:rPr>
        <w:t>Bilance</w:t>
      </w:r>
      <w:r>
        <w:rPr>
          <w:rFonts w:ascii="TimesNewRomanPS-BoldMT" w:hAnsi="TimesNewRomanPS-BoldMT" w:cs="TimesNewRomanPS-BoldMT"/>
          <w:b/>
          <w:bCs/>
        </w:rPr>
        <w:t xml:space="preserve"> zemních hmot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 xml:space="preserve">Součástí dokumentace je též bilance zemních hmot, obsahující stanovení vlastností a objemu zemních hmot vyzískaných stavbou, hmot potřebných pro stavbu, posouzení využitelnosti vyzískaných hmot a přesuny hmot. </w:t>
      </w:r>
    </w:p>
    <w:p w:rsidR="0033325D" w:rsidRDefault="0033325D" w:rsidP="0033325D">
      <w:pPr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U staveb s jednoduchými poměry postačí jako součást výkazu výměr příslušných stavebních objektů.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Náklady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0"/>
          <w:szCs w:val="24"/>
        </w:rPr>
      </w:pPr>
      <w:r>
        <w:rPr>
          <w:rFonts w:ascii="TimesNewRomanPS-BoldMT" w:hAnsi="TimesNewRomanPS-BoldMT" w:cs="TimesNewRomanPS-BoldMT"/>
          <w:b/>
          <w:bCs/>
          <w:sz w:val="20"/>
        </w:rPr>
        <w:t>Zpracují se podle souvisejících dokumentů uvedených v „Obecné části“ této směrnice pod body I. a II.</w:t>
      </w:r>
    </w:p>
    <w:p w:rsidR="0033325D" w:rsidRDefault="0033325D" w:rsidP="0033325D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0"/>
        </w:rPr>
        <w:t>Ocenění slouží pouze pro potřeby zadavatele dokumentace (tj. stavebníka ve smyslu stavebního zákona v platném znění). Součástí této části je výkaz výměr s uvedeným názvem položky včetně technické specifikace.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Doklady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Přehled subjektů, se kterými byl projekt stavby projednán v průběhu zpracování.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schvalovací a posuzovací protokol předchozího stupně dokumentace,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územní rozhodnutí,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doklady o udělených výjimkách z platných předpisů a norem, případně o souhlasu Drážního úřadu,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souhlas odborných útvarů zadavatele s použitím neschváleného a nezavedeného zařízení,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doklady o projednání se zadavatelem a odbornými útvary zadavatele,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závazná stanoviska dotčených orgánů a další doklady o jednání s dotčenými orgány a účastníky stavebního řízení,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vyjádření vlastníků a správců dotčených inženýrských sítí,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doklady o projednání s vlastníky pozemků a staveb nebo bytů a nebytových prostor dotčených stavbou, popř. s jinými oprávněnými subjekty,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situace stávajících inženýrských sítí ověřené jejich vlastníky, které nejsou součástí přípravné dokumentace a vyplynuly z podrobného řešení projektu, popřípadě vyjádření správců sítí jsou starší než 2 roky,</w:t>
      </w:r>
    </w:p>
    <w:p w:rsidR="0033325D" w:rsidRDefault="0033325D" w:rsidP="0033325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bude-li dodavatel projektu zajišťovat prohlášení o shodě notifikovanou osobou (u staveb vybrané železniční sítě ČR), je tento doklad součástí dokladové části.</w:t>
      </w:r>
    </w:p>
    <w:p w:rsidR="0033325D" w:rsidRDefault="0033325D" w:rsidP="0033325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Geodetická dokumentace</w:t>
      </w:r>
    </w:p>
    <w:p w:rsidR="0033325D" w:rsidRDefault="0033325D" w:rsidP="0033325D">
      <w:pPr>
        <w:spacing w:before="120"/>
        <w:rPr>
          <w:rFonts w:ascii="TimesNewRomanPSMT" w:hAnsi="TimesNewRomanPSMT" w:cs="TimesNewRomanPSMT"/>
          <w:sz w:val="20"/>
          <w:szCs w:val="24"/>
        </w:rPr>
      </w:pPr>
      <w:r>
        <w:rPr>
          <w:rFonts w:ascii="TimesNewRomanPSMT" w:hAnsi="TimesNewRomanPSMT" w:cs="TimesNewRomanPSMT"/>
          <w:sz w:val="20"/>
        </w:rPr>
        <w:t>Geodetická dokumentace je součástí jen vybraných souprav dokumentace (jejich počet určí stavebník) a člení se na tyto části:</w:t>
      </w:r>
    </w:p>
    <w:p w:rsidR="0033325D" w:rsidRDefault="0033325D" w:rsidP="0033325D">
      <w:pPr>
        <w:spacing w:before="120"/>
        <w:ind w:left="567"/>
        <w:rPr>
          <w:rFonts w:ascii="TimesNewRomanPS-BoldMT" w:hAnsi="TimesNewRomanPS-BoldMT" w:cs="TimesNewRomanPS-BoldMT"/>
          <w:b/>
          <w:bCs/>
          <w:sz w:val="20"/>
        </w:rPr>
      </w:pPr>
      <w:r>
        <w:rPr>
          <w:rFonts w:ascii="TimesNewRomanPS-BoldMT" w:hAnsi="TimesNewRomanPS-BoldMT" w:cs="TimesNewRomanPS-BoldMT"/>
          <w:b/>
          <w:bCs/>
          <w:sz w:val="20"/>
        </w:rPr>
        <w:t>Obsah: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Technická zpráva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Majetkoprávní část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Návrh vytyčovací sítě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Koordinační vytyčovací výkres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Obvod stavby</w:t>
      </w:r>
    </w:p>
    <w:p w:rsidR="0033325D" w:rsidRDefault="0033325D" w:rsidP="0033325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Geodetické a mapové podklady</w:t>
      </w:r>
    </w:p>
    <w:p w:rsidR="00494691" w:rsidRDefault="00494691"/>
    <w:sectPr w:rsidR="00494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F2" w:rsidRDefault="00E61FF2" w:rsidP="0033325D">
      <w:r>
        <w:separator/>
      </w:r>
    </w:p>
  </w:endnote>
  <w:endnote w:type="continuationSeparator" w:id="0">
    <w:p w:rsidR="00E61FF2" w:rsidRDefault="00E61FF2" w:rsidP="0033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F2" w:rsidRDefault="00E61FF2" w:rsidP="0033325D">
      <w:r>
        <w:separator/>
      </w:r>
    </w:p>
  </w:footnote>
  <w:footnote w:type="continuationSeparator" w:id="0">
    <w:p w:rsidR="00E61FF2" w:rsidRDefault="00E61FF2" w:rsidP="0033325D">
      <w:r>
        <w:continuationSeparator/>
      </w:r>
    </w:p>
  </w:footnote>
  <w:footnote w:id="1">
    <w:p w:rsidR="0033325D" w:rsidRDefault="0033325D" w:rsidP="0033325D">
      <w:r>
        <w:rPr>
          <w:rStyle w:val="Znakapoznpodarou"/>
          <w:rFonts w:eastAsia="Calibri"/>
        </w:rPr>
        <w:footnoteRef/>
      </w:r>
      <w:r>
        <w:t xml:space="preserve"> Kompletní znění směrnice na internetových stránkách SŽDC s.o. </w:t>
      </w:r>
      <w:r w:rsidRPr="00523177">
        <w:rPr>
          <w:sz w:val="20"/>
        </w:rPr>
        <w:t>http://www.szdc.cz/dalsi-informace/dokumenty-a-predpisy/organizacne-ridici.html?page=detail&amp;docid=1%3B%239067eba1-80a3-45b6-b09f-933e3d0d0a7e</w:t>
      </w:r>
    </w:p>
    <w:p w:rsidR="0033325D" w:rsidRDefault="0033325D" w:rsidP="0033325D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C2E5E"/>
    <w:multiLevelType w:val="hybridMultilevel"/>
    <w:tmpl w:val="57D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33F02"/>
    <w:multiLevelType w:val="hybridMultilevel"/>
    <w:tmpl w:val="F158781A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9A4100C"/>
    <w:multiLevelType w:val="hybridMultilevel"/>
    <w:tmpl w:val="CCEE7ADC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0A9A651C"/>
    <w:multiLevelType w:val="multilevel"/>
    <w:tmpl w:val="BA029150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ED79E7"/>
    <w:multiLevelType w:val="hybridMultilevel"/>
    <w:tmpl w:val="DB6A27B2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09440B4"/>
    <w:multiLevelType w:val="hybridMultilevel"/>
    <w:tmpl w:val="11287CE4"/>
    <w:lvl w:ilvl="0" w:tplc="AB1AB930">
      <w:start w:val="1"/>
      <w:numFmt w:val="decimal"/>
      <w:lvlText w:val="D 4.%1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3F60990"/>
    <w:multiLevelType w:val="hybridMultilevel"/>
    <w:tmpl w:val="D4F8B0C0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6223A19"/>
    <w:multiLevelType w:val="hybridMultilevel"/>
    <w:tmpl w:val="586810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5E0CEA8">
      <w:start w:val="1"/>
      <w:numFmt w:val="upperLetter"/>
      <w:lvlText w:val="%2."/>
      <w:lvlJc w:val="left"/>
      <w:pPr>
        <w:ind w:left="1080" w:hanging="360"/>
      </w:pPr>
      <w:rPr>
        <w:rFonts w:hint="default"/>
        <w:b/>
      </w:rPr>
    </w:lvl>
    <w:lvl w:ilvl="2" w:tplc="D98A2DFC">
      <w:start w:val="1"/>
      <w:numFmt w:val="upperLetter"/>
      <w:lvlText w:val="%3."/>
      <w:lvlJc w:val="left"/>
      <w:pPr>
        <w:ind w:left="1980" w:hanging="360"/>
      </w:pPr>
      <w:rPr>
        <w:rFonts w:hint="default"/>
        <w:sz w:val="28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5A4231"/>
    <w:multiLevelType w:val="hybridMultilevel"/>
    <w:tmpl w:val="37B44726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181770C0"/>
    <w:multiLevelType w:val="hybridMultilevel"/>
    <w:tmpl w:val="8326EA42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83876"/>
    <w:multiLevelType w:val="hybridMultilevel"/>
    <w:tmpl w:val="F4C83234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75408C2"/>
    <w:multiLevelType w:val="hybridMultilevel"/>
    <w:tmpl w:val="5260908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27D60491"/>
    <w:multiLevelType w:val="hybridMultilevel"/>
    <w:tmpl w:val="A8E62A6C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C533325"/>
    <w:multiLevelType w:val="hybridMultilevel"/>
    <w:tmpl w:val="78C4576C"/>
    <w:lvl w:ilvl="0" w:tplc="250206EA">
      <w:start w:val="1"/>
      <w:numFmt w:val="decimal"/>
      <w:lvlText w:val="D 3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D507C"/>
    <w:multiLevelType w:val="hybridMultilevel"/>
    <w:tmpl w:val="2CAAF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09C1C">
      <w:start w:val="13"/>
      <w:numFmt w:val="bullet"/>
      <w:lvlText w:val="-"/>
      <w:lvlJc w:val="left"/>
      <w:pPr>
        <w:ind w:left="1637" w:hanging="360"/>
      </w:pPr>
      <w:rPr>
        <w:rFonts w:ascii="TimesNewRomanPSMT" w:eastAsia="Calibri" w:hAnsi="TimesNewRomanPSMT" w:cs="TimesNewRomanPSMT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C6FCD"/>
    <w:multiLevelType w:val="multilevel"/>
    <w:tmpl w:val="E03CDB46"/>
    <w:lvl w:ilvl="0">
      <w:start w:val="1"/>
      <w:numFmt w:val="decimal"/>
      <w:pStyle w:val="RLTextlnkuslovan"/>
      <w:lvlText w:val="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8194FA4"/>
    <w:multiLevelType w:val="hybridMultilevel"/>
    <w:tmpl w:val="AC4C77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11009C1C">
      <w:start w:val="13"/>
      <w:numFmt w:val="bullet"/>
      <w:lvlText w:val="-"/>
      <w:lvlJc w:val="left"/>
      <w:pPr>
        <w:ind w:left="2346" w:hanging="360"/>
      </w:pPr>
      <w:rPr>
        <w:rFonts w:ascii="TimesNewRomanPSMT" w:eastAsia="Calibri" w:hAnsi="TimesNewRomanPSMT" w:cs="TimesNewRomanPSMT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41555"/>
    <w:multiLevelType w:val="hybridMultilevel"/>
    <w:tmpl w:val="BA609518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9C74666"/>
    <w:multiLevelType w:val="hybridMultilevel"/>
    <w:tmpl w:val="45F89118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1">
    <w:nsid w:val="3B8A5854"/>
    <w:multiLevelType w:val="hybridMultilevel"/>
    <w:tmpl w:val="CE4A6640"/>
    <w:lvl w:ilvl="0" w:tplc="11009C1C">
      <w:start w:val="13"/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CE0CD5"/>
    <w:multiLevelType w:val="hybridMultilevel"/>
    <w:tmpl w:val="FD38FD2C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3C9E3284"/>
    <w:multiLevelType w:val="hybridMultilevel"/>
    <w:tmpl w:val="43D228FC"/>
    <w:lvl w:ilvl="0" w:tplc="4B58CF32">
      <w:start w:val="1"/>
      <w:numFmt w:val="decimal"/>
      <w:lvlText w:val="D %1"/>
      <w:lvlJc w:val="left"/>
      <w:pPr>
        <w:ind w:left="1495" w:hanging="360"/>
      </w:p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>
      <w:start w:val="1"/>
      <w:numFmt w:val="lowerRoman"/>
      <w:lvlText w:val="%3."/>
      <w:lvlJc w:val="right"/>
      <w:pPr>
        <w:ind w:left="2935" w:hanging="180"/>
      </w:pPr>
    </w:lvl>
    <w:lvl w:ilvl="3" w:tplc="0405000F">
      <w:start w:val="1"/>
      <w:numFmt w:val="decimal"/>
      <w:lvlText w:val="%4."/>
      <w:lvlJc w:val="left"/>
      <w:pPr>
        <w:ind w:left="3655" w:hanging="360"/>
      </w:pPr>
    </w:lvl>
    <w:lvl w:ilvl="4" w:tplc="04050019">
      <w:start w:val="1"/>
      <w:numFmt w:val="lowerLetter"/>
      <w:lvlText w:val="%5."/>
      <w:lvlJc w:val="left"/>
      <w:pPr>
        <w:ind w:left="4375" w:hanging="360"/>
      </w:pPr>
    </w:lvl>
    <w:lvl w:ilvl="5" w:tplc="0405001B">
      <w:start w:val="1"/>
      <w:numFmt w:val="lowerRoman"/>
      <w:lvlText w:val="%6."/>
      <w:lvlJc w:val="right"/>
      <w:pPr>
        <w:ind w:left="5095" w:hanging="180"/>
      </w:pPr>
    </w:lvl>
    <w:lvl w:ilvl="6" w:tplc="0405000F">
      <w:start w:val="1"/>
      <w:numFmt w:val="decimal"/>
      <w:lvlText w:val="%7."/>
      <w:lvlJc w:val="left"/>
      <w:pPr>
        <w:ind w:left="5815" w:hanging="360"/>
      </w:pPr>
    </w:lvl>
    <w:lvl w:ilvl="7" w:tplc="04050019">
      <w:start w:val="1"/>
      <w:numFmt w:val="lowerLetter"/>
      <w:lvlText w:val="%8."/>
      <w:lvlJc w:val="left"/>
      <w:pPr>
        <w:ind w:left="6535" w:hanging="360"/>
      </w:pPr>
    </w:lvl>
    <w:lvl w:ilvl="8" w:tplc="0405001B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46D929DB"/>
    <w:multiLevelType w:val="multilevel"/>
    <w:tmpl w:val="A7FAAEC2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25">
    <w:nsid w:val="48E0081D"/>
    <w:multiLevelType w:val="hybridMultilevel"/>
    <w:tmpl w:val="03B81B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D3EDF"/>
    <w:multiLevelType w:val="hybridMultilevel"/>
    <w:tmpl w:val="802447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4435ED"/>
    <w:multiLevelType w:val="hybridMultilevel"/>
    <w:tmpl w:val="A2B6C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DEFE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26B09D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962A1"/>
    <w:multiLevelType w:val="hybridMultilevel"/>
    <w:tmpl w:val="C2F6F26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7">
      <w:start w:val="1"/>
      <w:numFmt w:val="lowerLetter"/>
      <w:lvlText w:val="%2)"/>
      <w:lvlJc w:val="left"/>
      <w:pPr>
        <w:ind w:left="1353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64C6912"/>
    <w:multiLevelType w:val="hybridMultilevel"/>
    <w:tmpl w:val="2744E500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7">
      <w:start w:val="1"/>
      <w:numFmt w:val="lowerLetter"/>
      <w:lvlText w:val="%2)"/>
      <w:lvlJc w:val="left"/>
      <w:pPr>
        <w:ind w:left="1353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5D5C65FE"/>
    <w:multiLevelType w:val="hybridMultilevel"/>
    <w:tmpl w:val="549EA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396B27"/>
    <w:multiLevelType w:val="hybridMultilevel"/>
    <w:tmpl w:val="687017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725D7"/>
    <w:multiLevelType w:val="hybridMultilevel"/>
    <w:tmpl w:val="B7781648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>
    <w:nsid w:val="62AC2323"/>
    <w:multiLevelType w:val="hybridMultilevel"/>
    <w:tmpl w:val="51409C12"/>
    <w:lvl w:ilvl="0" w:tplc="D2C43DEA">
      <w:start w:val="1"/>
      <w:numFmt w:val="decimal"/>
      <w:lvlText w:val="E.%1"/>
      <w:lvlJc w:val="left"/>
      <w:pPr>
        <w:ind w:left="1353" w:hanging="360"/>
      </w:p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2D01F25"/>
    <w:multiLevelType w:val="hybridMultilevel"/>
    <w:tmpl w:val="039CBA1E"/>
    <w:lvl w:ilvl="0" w:tplc="11009C1C">
      <w:start w:val="13"/>
      <w:numFmt w:val="bullet"/>
      <w:lvlText w:val="-"/>
      <w:lvlJc w:val="left"/>
      <w:pPr>
        <w:ind w:left="1571" w:hanging="360"/>
      </w:pPr>
      <w:rPr>
        <w:rFonts w:ascii="TimesNewRomanPSMT" w:eastAsia="Calibri" w:hAnsi="TimesNewRomanPSMT" w:cs="TimesNewRomanPSMT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3964862"/>
    <w:multiLevelType w:val="hybridMultilevel"/>
    <w:tmpl w:val="DD84C258"/>
    <w:lvl w:ilvl="0" w:tplc="62C6DB3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F806AF"/>
    <w:multiLevelType w:val="hybridMultilevel"/>
    <w:tmpl w:val="F1BA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6E10A4"/>
    <w:multiLevelType w:val="hybridMultilevel"/>
    <w:tmpl w:val="FD9E19BC"/>
    <w:lvl w:ilvl="0" w:tplc="04050015">
      <w:start w:val="1"/>
      <w:numFmt w:val="upperLetter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236FB2"/>
    <w:multiLevelType w:val="hybridMultilevel"/>
    <w:tmpl w:val="0A56ECEC"/>
    <w:lvl w:ilvl="0" w:tplc="47C826C8">
      <w:start w:val="1"/>
      <w:numFmt w:val="decimal"/>
      <w:lvlText w:val="E 1.%1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ED4052C"/>
    <w:multiLevelType w:val="hybridMultilevel"/>
    <w:tmpl w:val="3D16EF98"/>
    <w:lvl w:ilvl="0" w:tplc="325AF858">
      <w:start w:val="1"/>
      <w:numFmt w:val="decimal"/>
      <w:lvlText w:val="D 1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27EF8"/>
    <w:multiLevelType w:val="hybridMultilevel"/>
    <w:tmpl w:val="98EE7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4C5A60"/>
    <w:multiLevelType w:val="hybridMultilevel"/>
    <w:tmpl w:val="3F7491BE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76530FA8"/>
    <w:multiLevelType w:val="hybridMultilevel"/>
    <w:tmpl w:val="2C622192"/>
    <w:lvl w:ilvl="0" w:tplc="622A3FA4">
      <w:start w:val="1"/>
      <w:numFmt w:val="decimal"/>
      <w:lvlText w:val="E.3.%1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C703759"/>
    <w:multiLevelType w:val="hybridMultilevel"/>
    <w:tmpl w:val="30D60934"/>
    <w:lvl w:ilvl="0" w:tplc="967472EA">
      <w:start w:val="1"/>
      <w:numFmt w:val="decimal"/>
      <w:lvlText w:val="D 2.%1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15483F"/>
    <w:multiLevelType w:val="hybridMultilevel"/>
    <w:tmpl w:val="B5063B4A"/>
    <w:lvl w:ilvl="0" w:tplc="CCDCA378">
      <w:start w:val="1"/>
      <w:numFmt w:val="decimal"/>
      <w:lvlText w:val="I.%1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E2B7C1C"/>
    <w:multiLevelType w:val="hybridMultilevel"/>
    <w:tmpl w:val="BA189AEC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>
    <w:nsid w:val="7F3A19A6"/>
    <w:multiLevelType w:val="hybridMultilevel"/>
    <w:tmpl w:val="5060D94A"/>
    <w:lvl w:ilvl="0" w:tplc="4206648E">
      <w:start w:val="1"/>
      <w:numFmt w:val="decimal"/>
      <w:lvlText w:val="E.2.%1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D42FB7"/>
    <w:multiLevelType w:val="hybridMultilevel"/>
    <w:tmpl w:val="E8886044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7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3"/>
  </w:num>
  <w:num w:numId="13">
    <w:abstractNumId w:val="19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0"/>
  </w:num>
  <w:num w:numId="26">
    <w:abstractNumId w:val="2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26"/>
  </w:num>
  <w:num w:numId="42">
    <w:abstractNumId w:val="1"/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  <w:num w:numId="46">
    <w:abstractNumId w:val="24"/>
  </w:num>
  <w:num w:numId="47">
    <w:abstractNumId w:val="0"/>
  </w:num>
  <w:num w:numId="48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5D"/>
    <w:rsid w:val="0033325D"/>
    <w:rsid w:val="00494691"/>
    <w:rsid w:val="00572A81"/>
    <w:rsid w:val="00E6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3325D"/>
    <w:pPr>
      <w:keepNext/>
      <w:tabs>
        <w:tab w:val="left" w:pos="1980"/>
      </w:tabs>
      <w:jc w:val="both"/>
      <w:outlineLvl w:val="0"/>
    </w:pPr>
    <w:rPr>
      <w:b/>
      <w:sz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325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325D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325D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3325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3332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3325D"/>
    <w:pPr>
      <w:overflowPunct/>
      <w:autoSpaceDE/>
      <w:autoSpaceDN/>
      <w:adjustRightInd/>
      <w:ind w:left="720"/>
      <w:contextualSpacing/>
      <w:textAlignment w:val="auto"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332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Ldajeosmluvnstran">
    <w:name w:val="RL  údaje o smluvní straně"/>
    <w:basedOn w:val="Normln"/>
    <w:uiPriority w:val="99"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33325D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RLTextlnkuslovan">
    <w:name w:val="RL Text článku číslovaný"/>
    <w:basedOn w:val="Normln"/>
    <w:link w:val="RLTextlnkuslovanChar"/>
    <w:rsid w:val="0033325D"/>
    <w:pPr>
      <w:numPr>
        <w:ilvl w:val="1"/>
        <w:numId w:val="1"/>
      </w:numPr>
      <w:overflowPunct/>
      <w:autoSpaceDE/>
      <w:autoSpaceDN/>
      <w:adjustRightInd/>
      <w:spacing w:after="120" w:line="280" w:lineRule="exact"/>
      <w:jc w:val="both"/>
      <w:textAlignment w:val="auto"/>
    </w:pPr>
    <w:rPr>
      <w:rFonts w:ascii="Calibri" w:hAnsi="Calibri"/>
      <w:sz w:val="20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33325D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325D"/>
    <w:pPr>
      <w:overflowPunct/>
      <w:autoSpaceDE/>
      <w:autoSpaceDN/>
      <w:adjustRightInd/>
      <w:spacing w:after="120" w:line="280" w:lineRule="exact"/>
      <w:textAlignment w:val="auto"/>
    </w:pPr>
    <w:rPr>
      <w:rFonts w:ascii="Calibri" w:hAnsi="Calibri"/>
      <w:sz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325D"/>
    <w:rPr>
      <w:rFonts w:ascii="Calibri" w:eastAsia="Times New Roman" w:hAnsi="Calibri" w:cs="Times New Roman"/>
      <w:sz w:val="20"/>
      <w:szCs w:val="20"/>
      <w:lang w:val="x-none" w:eastAsia="cs-CZ"/>
    </w:rPr>
  </w:style>
  <w:style w:type="character" w:styleId="Odkaznakoment">
    <w:name w:val="annotation reference"/>
    <w:uiPriority w:val="99"/>
    <w:semiHidden/>
    <w:unhideWhenUsed/>
    <w:rsid w:val="0033325D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2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25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3332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3332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325D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3325D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325D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eastAsia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3325D"/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25D"/>
    <w:pPr>
      <w:overflowPunct/>
      <w:autoSpaceDE/>
      <w:autoSpaceDN/>
      <w:adjustRightInd/>
      <w:jc w:val="both"/>
      <w:textAlignment w:val="auto"/>
    </w:pPr>
    <w:rPr>
      <w:rFonts w:eastAsia="Calibri"/>
      <w:sz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25D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3325D"/>
    <w:rPr>
      <w:vertAlign w:val="superscript"/>
    </w:rPr>
  </w:style>
  <w:style w:type="character" w:styleId="Hypertextovodkaz">
    <w:name w:val="Hyperlink"/>
    <w:uiPriority w:val="99"/>
    <w:rsid w:val="0033325D"/>
    <w:rPr>
      <w:color w:val="0000FF"/>
      <w:u w:val="single"/>
    </w:rPr>
  </w:style>
  <w:style w:type="paragraph" w:customStyle="1" w:styleId="TPNadpis-2slovan">
    <w:name w:val="TP_Nadpis-2_číslovaný"/>
    <w:next w:val="TPText-1slovan"/>
    <w:link w:val="TPNadpis-2slovanChar"/>
    <w:qFormat/>
    <w:rsid w:val="0033325D"/>
    <w:pPr>
      <w:keepNext/>
      <w:numPr>
        <w:ilvl w:val="1"/>
        <w:numId w:val="4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33325D"/>
    <w:pPr>
      <w:numPr>
        <w:ilvl w:val="2"/>
        <w:numId w:val="4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33325D"/>
    <w:rPr>
      <w:rFonts w:ascii="Calibri" w:eastAsia="Calibri" w:hAnsi="Calibri" w:cs="Arial"/>
      <w:sz w:val="20"/>
    </w:rPr>
  </w:style>
  <w:style w:type="character" w:customStyle="1" w:styleId="TPNadpis-2slovanChar">
    <w:name w:val="TP_Nadpis-2_číslovaný Char"/>
    <w:link w:val="TPNadpis-2slovan"/>
    <w:rsid w:val="0033325D"/>
    <w:rPr>
      <w:rFonts w:ascii="Calibri" w:eastAsia="Calibri" w:hAnsi="Calibri" w:cs="Arial"/>
      <w:b/>
    </w:rPr>
  </w:style>
  <w:style w:type="paragraph" w:customStyle="1" w:styleId="TPNADPIS-1slovan">
    <w:name w:val="TP_NADPIS-1_číslovaný"/>
    <w:next w:val="TPNadpis-2slovan"/>
    <w:link w:val="TPNADPIS-1slovanChar"/>
    <w:qFormat/>
    <w:rsid w:val="0033325D"/>
    <w:pPr>
      <w:keepNext/>
      <w:numPr>
        <w:numId w:val="4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33325D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33325D"/>
    <w:pPr>
      <w:numPr>
        <w:ilvl w:val="3"/>
        <w:numId w:val="45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</w:rPr>
  </w:style>
  <w:style w:type="character" w:customStyle="1" w:styleId="TPText-2slovanChar">
    <w:name w:val="TP_Text-2_číslovaný Char"/>
    <w:link w:val="TPText-2slovan"/>
    <w:rsid w:val="0033325D"/>
    <w:rPr>
      <w:rFonts w:ascii="Calibri" w:eastAsia="Calibri" w:hAnsi="Calibri" w:cs="Arial"/>
      <w:sz w:val="20"/>
    </w:rPr>
  </w:style>
  <w:style w:type="paragraph" w:customStyle="1" w:styleId="TPText-1abc">
    <w:name w:val="TP_Text-1_a)b)c)"/>
    <w:basedOn w:val="TPText-1slovan"/>
    <w:link w:val="TPText-1abcChar"/>
    <w:qFormat/>
    <w:rsid w:val="0033325D"/>
    <w:pPr>
      <w:numPr>
        <w:ilvl w:val="0"/>
        <w:numId w:val="46"/>
      </w:numPr>
    </w:pPr>
  </w:style>
  <w:style w:type="character" w:customStyle="1" w:styleId="TPText-1abcChar">
    <w:name w:val="TP_Text-1_a)b)c) Char"/>
    <w:link w:val="TPText-1abc"/>
    <w:rsid w:val="0033325D"/>
    <w:rPr>
      <w:rFonts w:ascii="Calibri" w:eastAsia="Calibri" w:hAnsi="Calibri" w:cs="Arial"/>
      <w:sz w:val="20"/>
    </w:rPr>
  </w:style>
  <w:style w:type="paragraph" w:customStyle="1" w:styleId="TPText-1neslovan">
    <w:name w:val="TP_Text-1_nečíslovaný"/>
    <w:basedOn w:val="TPText-1slovan"/>
    <w:link w:val="TPText-1neslovanChar"/>
    <w:qFormat/>
    <w:rsid w:val="0033325D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33325D"/>
    <w:rPr>
      <w:rFonts w:ascii="Calibri" w:eastAsia="Calibri" w:hAnsi="Calibri" w:cs="Arial"/>
      <w:sz w:val="20"/>
    </w:rPr>
  </w:style>
  <w:style w:type="paragraph" w:customStyle="1" w:styleId="TSlneksmlouvy">
    <w:name w:val="TS Článek smlouvy"/>
    <w:basedOn w:val="Normln"/>
    <w:next w:val="Normln"/>
    <w:link w:val="TSlneksmlouvyChar"/>
    <w:rsid w:val="0033325D"/>
    <w:pPr>
      <w:keepNext/>
      <w:suppressAutoHyphens/>
      <w:overflowPunct/>
      <w:autoSpaceDE/>
      <w:autoSpaceDN/>
      <w:adjustRightInd/>
      <w:spacing w:before="480" w:after="240" w:line="280" w:lineRule="exact"/>
      <w:ind w:left="6663"/>
      <w:jc w:val="center"/>
      <w:textAlignment w:val="auto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33325D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rsid w:val="0033325D"/>
    <w:pPr>
      <w:tabs>
        <w:tab w:val="num" w:pos="737"/>
      </w:tabs>
      <w:overflowPunct/>
      <w:autoSpaceDE/>
      <w:autoSpaceDN/>
      <w:adjustRightInd/>
      <w:spacing w:after="120" w:line="280" w:lineRule="exact"/>
      <w:ind w:left="737" w:hanging="737"/>
      <w:jc w:val="both"/>
      <w:textAlignment w:val="auto"/>
    </w:pPr>
    <w:rPr>
      <w:rFonts w:ascii="Arial" w:hAnsi="Arial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33325D"/>
    <w:pPr>
      <w:keepNext/>
      <w:tabs>
        <w:tab w:val="num" w:pos="737"/>
      </w:tabs>
      <w:suppressAutoHyphens/>
      <w:overflowPunct/>
      <w:autoSpaceDE/>
      <w:autoSpaceDN/>
      <w:adjustRightInd/>
      <w:spacing w:before="360" w:after="120" w:line="280" w:lineRule="exact"/>
      <w:ind w:left="737" w:hanging="737"/>
      <w:jc w:val="both"/>
      <w:textAlignment w:val="auto"/>
      <w:outlineLvl w:val="0"/>
    </w:pPr>
    <w:rPr>
      <w:rFonts w:ascii="Calibri" w:hAnsi="Calibri"/>
      <w:b/>
      <w:sz w:val="20"/>
      <w:szCs w:val="24"/>
      <w:lang w:val="x-none" w:eastAsia="x-none"/>
    </w:rPr>
  </w:style>
  <w:style w:type="paragraph" w:customStyle="1" w:styleId="doplnuchaze">
    <w:name w:val="doplní uchazeč"/>
    <w:basedOn w:val="Normln"/>
    <w:link w:val="doplnuchazeChar"/>
    <w:qFormat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napToGrid w:val="0"/>
      <w:sz w:val="22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33325D"/>
    <w:rPr>
      <w:rFonts w:ascii="Calibri" w:eastAsia="Times New Roman" w:hAnsi="Calibri" w:cs="Times New Roman"/>
      <w:b/>
      <w:snapToGrid w:val="0"/>
      <w:lang w:val="x-none" w:eastAsia="x-none"/>
    </w:rPr>
  </w:style>
  <w:style w:type="paragraph" w:customStyle="1" w:styleId="doplnzadavatel">
    <w:name w:val="doplní zadavatel"/>
    <w:basedOn w:val="doplnuchaze"/>
    <w:qFormat/>
    <w:rsid w:val="0033325D"/>
    <w:rPr>
      <w:lang w:eastAsia="en-US"/>
    </w:rPr>
  </w:style>
  <w:style w:type="character" w:styleId="Odkaznavysvtlivky">
    <w:name w:val="endnote reference"/>
    <w:uiPriority w:val="99"/>
    <w:semiHidden/>
    <w:unhideWhenUsed/>
    <w:rsid w:val="0033325D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3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325D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TPText-1odrka">
    <w:name w:val="TP_Text-1_• odrážka"/>
    <w:basedOn w:val="TPText-1slovan"/>
    <w:link w:val="TPText-1odrkaChar"/>
    <w:qFormat/>
    <w:rsid w:val="0033325D"/>
    <w:pPr>
      <w:numPr>
        <w:ilvl w:val="0"/>
        <w:numId w:val="47"/>
      </w:numPr>
      <w:spacing w:before="40"/>
      <w:ind w:left="1378" w:hanging="357"/>
    </w:pPr>
    <w:rPr>
      <w:rFonts w:cs="Times New Roman"/>
      <w:lang w:val="x-none"/>
    </w:rPr>
  </w:style>
  <w:style w:type="character" w:customStyle="1" w:styleId="TPText-1odrkaChar">
    <w:name w:val="TP_Text-1_• odrážka Char"/>
    <w:link w:val="TPText-1odrka"/>
    <w:rsid w:val="0033325D"/>
    <w:rPr>
      <w:rFonts w:ascii="Calibri" w:eastAsia="Calibri" w:hAnsi="Calibri" w:cs="Times New Roman"/>
      <w:sz w:val="20"/>
      <w:lang w:val="x-none"/>
    </w:rPr>
  </w:style>
  <w:style w:type="table" w:styleId="Mkatabulky">
    <w:name w:val="Table Grid"/>
    <w:basedOn w:val="Normlntabulka"/>
    <w:uiPriority w:val="59"/>
    <w:rsid w:val="003332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qFormat/>
    <w:rsid w:val="0033325D"/>
    <w:pPr>
      <w:keepLines/>
      <w:numPr>
        <w:numId w:val="48"/>
      </w:numPr>
      <w:tabs>
        <w:tab w:val="clear" w:pos="1980"/>
      </w:tabs>
      <w:overflowPunct/>
      <w:autoSpaceDE/>
      <w:autoSpaceDN/>
      <w:adjustRightInd/>
      <w:spacing w:before="480" w:line="276" w:lineRule="auto"/>
      <w:jc w:val="left"/>
      <w:textAlignment w:val="auto"/>
    </w:pPr>
    <w:rPr>
      <w:rFonts w:ascii="Cambria" w:hAnsi="Cambria"/>
      <w:b w:val="0"/>
      <w:bCs/>
      <w:color w:val="365F91"/>
      <w:sz w:val="28"/>
      <w:szCs w:val="28"/>
      <w:lang w:eastAsia="en-US"/>
    </w:rPr>
  </w:style>
  <w:style w:type="character" w:customStyle="1" w:styleId="Styl1Char">
    <w:name w:val="Styl1 Char"/>
    <w:link w:val="Styl1"/>
    <w:rsid w:val="0033325D"/>
    <w:rPr>
      <w:rFonts w:ascii="Cambria" w:eastAsia="Times New Roman" w:hAnsi="Cambria" w:cs="Times New Roman"/>
      <w:bCs/>
      <w:color w:val="365F91"/>
      <w:sz w:val="28"/>
      <w:szCs w:val="28"/>
    </w:rPr>
  </w:style>
  <w:style w:type="character" w:customStyle="1" w:styleId="FontStyle38">
    <w:name w:val="Font Style38"/>
    <w:uiPriority w:val="99"/>
    <w:rsid w:val="0033325D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3325D"/>
    <w:pPr>
      <w:keepNext/>
      <w:tabs>
        <w:tab w:val="left" w:pos="1980"/>
      </w:tabs>
      <w:jc w:val="both"/>
      <w:outlineLvl w:val="0"/>
    </w:pPr>
    <w:rPr>
      <w:b/>
      <w:sz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325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325D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325D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3325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3332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3325D"/>
    <w:pPr>
      <w:overflowPunct/>
      <w:autoSpaceDE/>
      <w:autoSpaceDN/>
      <w:adjustRightInd/>
      <w:ind w:left="720"/>
      <w:contextualSpacing/>
      <w:textAlignment w:val="auto"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332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Ldajeosmluvnstran">
    <w:name w:val="RL  údaje o smluvní straně"/>
    <w:basedOn w:val="Normln"/>
    <w:uiPriority w:val="99"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33325D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RLTextlnkuslovan">
    <w:name w:val="RL Text článku číslovaný"/>
    <w:basedOn w:val="Normln"/>
    <w:link w:val="RLTextlnkuslovanChar"/>
    <w:rsid w:val="0033325D"/>
    <w:pPr>
      <w:numPr>
        <w:ilvl w:val="1"/>
        <w:numId w:val="1"/>
      </w:numPr>
      <w:overflowPunct/>
      <w:autoSpaceDE/>
      <w:autoSpaceDN/>
      <w:adjustRightInd/>
      <w:spacing w:after="120" w:line="280" w:lineRule="exact"/>
      <w:jc w:val="both"/>
      <w:textAlignment w:val="auto"/>
    </w:pPr>
    <w:rPr>
      <w:rFonts w:ascii="Calibri" w:hAnsi="Calibri"/>
      <w:sz w:val="20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33325D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325D"/>
    <w:pPr>
      <w:overflowPunct/>
      <w:autoSpaceDE/>
      <w:autoSpaceDN/>
      <w:adjustRightInd/>
      <w:spacing w:after="120" w:line="280" w:lineRule="exact"/>
      <w:textAlignment w:val="auto"/>
    </w:pPr>
    <w:rPr>
      <w:rFonts w:ascii="Calibri" w:hAnsi="Calibri"/>
      <w:sz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325D"/>
    <w:rPr>
      <w:rFonts w:ascii="Calibri" w:eastAsia="Times New Roman" w:hAnsi="Calibri" w:cs="Times New Roman"/>
      <w:sz w:val="20"/>
      <w:szCs w:val="20"/>
      <w:lang w:val="x-none" w:eastAsia="cs-CZ"/>
    </w:rPr>
  </w:style>
  <w:style w:type="character" w:styleId="Odkaznakoment">
    <w:name w:val="annotation reference"/>
    <w:uiPriority w:val="99"/>
    <w:semiHidden/>
    <w:unhideWhenUsed/>
    <w:rsid w:val="0033325D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2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25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3332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3332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325D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3325D"/>
    <w:rPr>
      <w:rFonts w:ascii="Times New Roman" w:eastAsia="Calibri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325D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eastAsia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3325D"/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25D"/>
    <w:pPr>
      <w:overflowPunct/>
      <w:autoSpaceDE/>
      <w:autoSpaceDN/>
      <w:adjustRightInd/>
      <w:jc w:val="both"/>
      <w:textAlignment w:val="auto"/>
    </w:pPr>
    <w:rPr>
      <w:rFonts w:eastAsia="Calibri"/>
      <w:sz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25D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3325D"/>
    <w:rPr>
      <w:vertAlign w:val="superscript"/>
    </w:rPr>
  </w:style>
  <w:style w:type="character" w:styleId="Hypertextovodkaz">
    <w:name w:val="Hyperlink"/>
    <w:uiPriority w:val="99"/>
    <w:rsid w:val="0033325D"/>
    <w:rPr>
      <w:color w:val="0000FF"/>
      <w:u w:val="single"/>
    </w:rPr>
  </w:style>
  <w:style w:type="paragraph" w:customStyle="1" w:styleId="TPNadpis-2slovan">
    <w:name w:val="TP_Nadpis-2_číslovaný"/>
    <w:next w:val="TPText-1slovan"/>
    <w:link w:val="TPNadpis-2slovanChar"/>
    <w:qFormat/>
    <w:rsid w:val="0033325D"/>
    <w:pPr>
      <w:keepNext/>
      <w:numPr>
        <w:ilvl w:val="1"/>
        <w:numId w:val="4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</w:rPr>
  </w:style>
  <w:style w:type="paragraph" w:customStyle="1" w:styleId="TPText-1slovan">
    <w:name w:val="TP_Text-1_ číslovaný"/>
    <w:link w:val="TPText-1slovanChar"/>
    <w:qFormat/>
    <w:rsid w:val="0033325D"/>
    <w:pPr>
      <w:numPr>
        <w:ilvl w:val="2"/>
        <w:numId w:val="45"/>
      </w:numPr>
      <w:spacing w:before="80" w:after="0" w:line="240" w:lineRule="auto"/>
      <w:jc w:val="both"/>
    </w:pPr>
    <w:rPr>
      <w:rFonts w:ascii="Calibri" w:eastAsia="Calibri" w:hAnsi="Calibri" w:cs="Arial"/>
      <w:sz w:val="20"/>
    </w:rPr>
  </w:style>
  <w:style w:type="character" w:customStyle="1" w:styleId="TPText-1slovanChar">
    <w:name w:val="TP_Text-1_ číslovaný Char"/>
    <w:link w:val="TPText-1slovan"/>
    <w:rsid w:val="0033325D"/>
    <w:rPr>
      <w:rFonts w:ascii="Calibri" w:eastAsia="Calibri" w:hAnsi="Calibri" w:cs="Arial"/>
      <w:sz w:val="20"/>
    </w:rPr>
  </w:style>
  <w:style w:type="character" w:customStyle="1" w:styleId="TPNadpis-2slovanChar">
    <w:name w:val="TP_Nadpis-2_číslovaný Char"/>
    <w:link w:val="TPNadpis-2slovan"/>
    <w:rsid w:val="0033325D"/>
    <w:rPr>
      <w:rFonts w:ascii="Calibri" w:eastAsia="Calibri" w:hAnsi="Calibri" w:cs="Arial"/>
      <w:b/>
    </w:rPr>
  </w:style>
  <w:style w:type="paragraph" w:customStyle="1" w:styleId="TPNADPIS-1slovan">
    <w:name w:val="TP_NADPIS-1_číslovaný"/>
    <w:next w:val="TPNadpis-2slovan"/>
    <w:link w:val="TPNADPIS-1slovanChar"/>
    <w:qFormat/>
    <w:rsid w:val="0033325D"/>
    <w:pPr>
      <w:keepNext/>
      <w:numPr>
        <w:numId w:val="4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33325D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33325D"/>
    <w:pPr>
      <w:numPr>
        <w:ilvl w:val="3"/>
        <w:numId w:val="45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</w:rPr>
  </w:style>
  <w:style w:type="character" w:customStyle="1" w:styleId="TPText-2slovanChar">
    <w:name w:val="TP_Text-2_číslovaný Char"/>
    <w:link w:val="TPText-2slovan"/>
    <w:rsid w:val="0033325D"/>
    <w:rPr>
      <w:rFonts w:ascii="Calibri" w:eastAsia="Calibri" w:hAnsi="Calibri" w:cs="Arial"/>
      <w:sz w:val="20"/>
    </w:rPr>
  </w:style>
  <w:style w:type="paragraph" w:customStyle="1" w:styleId="TPText-1abc">
    <w:name w:val="TP_Text-1_a)b)c)"/>
    <w:basedOn w:val="TPText-1slovan"/>
    <w:link w:val="TPText-1abcChar"/>
    <w:qFormat/>
    <w:rsid w:val="0033325D"/>
    <w:pPr>
      <w:numPr>
        <w:ilvl w:val="0"/>
        <w:numId w:val="46"/>
      </w:numPr>
    </w:pPr>
  </w:style>
  <w:style w:type="character" w:customStyle="1" w:styleId="TPText-1abcChar">
    <w:name w:val="TP_Text-1_a)b)c) Char"/>
    <w:link w:val="TPText-1abc"/>
    <w:rsid w:val="0033325D"/>
    <w:rPr>
      <w:rFonts w:ascii="Calibri" w:eastAsia="Calibri" w:hAnsi="Calibri" w:cs="Arial"/>
      <w:sz w:val="20"/>
    </w:rPr>
  </w:style>
  <w:style w:type="paragraph" w:customStyle="1" w:styleId="TPText-1neslovan">
    <w:name w:val="TP_Text-1_nečíslovaný"/>
    <w:basedOn w:val="TPText-1slovan"/>
    <w:link w:val="TPText-1neslovanChar"/>
    <w:qFormat/>
    <w:rsid w:val="0033325D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33325D"/>
    <w:rPr>
      <w:rFonts w:ascii="Calibri" w:eastAsia="Calibri" w:hAnsi="Calibri" w:cs="Arial"/>
      <w:sz w:val="20"/>
    </w:rPr>
  </w:style>
  <w:style w:type="paragraph" w:customStyle="1" w:styleId="TSlneksmlouvy">
    <w:name w:val="TS Článek smlouvy"/>
    <w:basedOn w:val="Normln"/>
    <w:next w:val="Normln"/>
    <w:link w:val="TSlneksmlouvyChar"/>
    <w:rsid w:val="0033325D"/>
    <w:pPr>
      <w:keepNext/>
      <w:suppressAutoHyphens/>
      <w:overflowPunct/>
      <w:autoSpaceDE/>
      <w:autoSpaceDN/>
      <w:adjustRightInd/>
      <w:spacing w:before="480" w:after="240" w:line="280" w:lineRule="exact"/>
      <w:ind w:left="6663"/>
      <w:jc w:val="center"/>
      <w:textAlignment w:val="auto"/>
      <w:outlineLvl w:val="0"/>
    </w:pPr>
    <w:rPr>
      <w:rFonts w:ascii="Arial" w:hAnsi="Arial"/>
      <w:b/>
      <w:sz w:val="22"/>
      <w:szCs w:val="24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33325D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rsid w:val="0033325D"/>
    <w:pPr>
      <w:tabs>
        <w:tab w:val="num" w:pos="737"/>
      </w:tabs>
      <w:overflowPunct/>
      <w:autoSpaceDE/>
      <w:autoSpaceDN/>
      <w:adjustRightInd/>
      <w:spacing w:after="120" w:line="280" w:lineRule="exact"/>
      <w:ind w:left="737" w:hanging="737"/>
      <w:jc w:val="both"/>
      <w:textAlignment w:val="auto"/>
    </w:pPr>
    <w:rPr>
      <w:rFonts w:ascii="Arial" w:hAnsi="Arial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33325D"/>
    <w:pPr>
      <w:keepNext/>
      <w:tabs>
        <w:tab w:val="num" w:pos="737"/>
      </w:tabs>
      <w:suppressAutoHyphens/>
      <w:overflowPunct/>
      <w:autoSpaceDE/>
      <w:autoSpaceDN/>
      <w:adjustRightInd/>
      <w:spacing w:before="360" w:after="120" w:line="280" w:lineRule="exact"/>
      <w:ind w:left="737" w:hanging="737"/>
      <w:jc w:val="both"/>
      <w:textAlignment w:val="auto"/>
      <w:outlineLvl w:val="0"/>
    </w:pPr>
    <w:rPr>
      <w:rFonts w:ascii="Calibri" w:hAnsi="Calibri"/>
      <w:b/>
      <w:sz w:val="20"/>
      <w:szCs w:val="24"/>
      <w:lang w:val="x-none" w:eastAsia="x-none"/>
    </w:rPr>
  </w:style>
  <w:style w:type="paragraph" w:customStyle="1" w:styleId="doplnuchaze">
    <w:name w:val="doplní uchazeč"/>
    <w:basedOn w:val="Normln"/>
    <w:link w:val="doplnuchazeChar"/>
    <w:qFormat/>
    <w:rsid w:val="0033325D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napToGrid w:val="0"/>
      <w:sz w:val="22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33325D"/>
    <w:rPr>
      <w:rFonts w:ascii="Calibri" w:eastAsia="Times New Roman" w:hAnsi="Calibri" w:cs="Times New Roman"/>
      <w:b/>
      <w:snapToGrid w:val="0"/>
      <w:lang w:val="x-none" w:eastAsia="x-none"/>
    </w:rPr>
  </w:style>
  <w:style w:type="paragraph" w:customStyle="1" w:styleId="doplnzadavatel">
    <w:name w:val="doplní zadavatel"/>
    <w:basedOn w:val="doplnuchaze"/>
    <w:qFormat/>
    <w:rsid w:val="0033325D"/>
    <w:rPr>
      <w:lang w:eastAsia="en-US"/>
    </w:rPr>
  </w:style>
  <w:style w:type="character" w:styleId="Odkaznavysvtlivky">
    <w:name w:val="endnote reference"/>
    <w:uiPriority w:val="99"/>
    <w:semiHidden/>
    <w:unhideWhenUsed/>
    <w:rsid w:val="0033325D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3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325D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TPText-1odrka">
    <w:name w:val="TP_Text-1_• odrážka"/>
    <w:basedOn w:val="TPText-1slovan"/>
    <w:link w:val="TPText-1odrkaChar"/>
    <w:qFormat/>
    <w:rsid w:val="0033325D"/>
    <w:pPr>
      <w:numPr>
        <w:ilvl w:val="0"/>
        <w:numId w:val="47"/>
      </w:numPr>
      <w:spacing w:before="40"/>
      <w:ind w:left="1378" w:hanging="357"/>
    </w:pPr>
    <w:rPr>
      <w:rFonts w:cs="Times New Roman"/>
      <w:lang w:val="x-none"/>
    </w:rPr>
  </w:style>
  <w:style w:type="character" w:customStyle="1" w:styleId="TPText-1odrkaChar">
    <w:name w:val="TP_Text-1_• odrážka Char"/>
    <w:link w:val="TPText-1odrka"/>
    <w:rsid w:val="0033325D"/>
    <w:rPr>
      <w:rFonts w:ascii="Calibri" w:eastAsia="Calibri" w:hAnsi="Calibri" w:cs="Times New Roman"/>
      <w:sz w:val="20"/>
      <w:lang w:val="x-none"/>
    </w:rPr>
  </w:style>
  <w:style w:type="table" w:styleId="Mkatabulky">
    <w:name w:val="Table Grid"/>
    <w:basedOn w:val="Normlntabulka"/>
    <w:uiPriority w:val="59"/>
    <w:rsid w:val="003332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qFormat/>
    <w:rsid w:val="0033325D"/>
    <w:pPr>
      <w:keepLines/>
      <w:numPr>
        <w:numId w:val="48"/>
      </w:numPr>
      <w:tabs>
        <w:tab w:val="clear" w:pos="1980"/>
      </w:tabs>
      <w:overflowPunct/>
      <w:autoSpaceDE/>
      <w:autoSpaceDN/>
      <w:adjustRightInd/>
      <w:spacing w:before="480" w:line="276" w:lineRule="auto"/>
      <w:jc w:val="left"/>
      <w:textAlignment w:val="auto"/>
    </w:pPr>
    <w:rPr>
      <w:rFonts w:ascii="Cambria" w:hAnsi="Cambria"/>
      <w:b w:val="0"/>
      <w:bCs/>
      <w:color w:val="365F91"/>
      <w:sz w:val="28"/>
      <w:szCs w:val="28"/>
      <w:lang w:eastAsia="en-US"/>
    </w:rPr>
  </w:style>
  <w:style w:type="character" w:customStyle="1" w:styleId="Styl1Char">
    <w:name w:val="Styl1 Char"/>
    <w:link w:val="Styl1"/>
    <w:rsid w:val="0033325D"/>
    <w:rPr>
      <w:rFonts w:ascii="Cambria" w:eastAsia="Times New Roman" w:hAnsi="Cambria" w:cs="Times New Roman"/>
      <w:bCs/>
      <w:color w:val="365F91"/>
      <w:sz w:val="28"/>
      <w:szCs w:val="28"/>
    </w:rPr>
  </w:style>
  <w:style w:type="character" w:customStyle="1" w:styleId="FontStyle38">
    <w:name w:val="Font Style38"/>
    <w:uiPriority w:val="99"/>
    <w:rsid w:val="0033325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9740</Words>
  <Characters>57471</Characters>
  <Application>Microsoft Office Word</Application>
  <DocSecurity>0</DocSecurity>
  <Lines>478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Zajíc Pavel, Mgr.</dc:creator>
  <cp:lastModifiedBy>Smeták Stanislav</cp:lastModifiedBy>
  <cp:revision>2</cp:revision>
  <dcterms:created xsi:type="dcterms:W3CDTF">2017-05-10T07:43:00Z</dcterms:created>
  <dcterms:modified xsi:type="dcterms:W3CDTF">2017-05-10T07:43:00Z</dcterms:modified>
</cp:coreProperties>
</file>